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80" w:rsidRDefault="00A61280" w:rsidP="00A61280">
      <w:pPr>
        <w:spacing w:after="0" w:line="240" w:lineRule="auto"/>
        <w:jc w:val="center"/>
        <w:rPr>
          <w:rFonts w:ascii="Monotype Corsiva" w:hAnsi="Monotype Corsiva"/>
          <w:b/>
          <w:sz w:val="44"/>
        </w:rPr>
      </w:pPr>
      <w:r>
        <w:rPr>
          <w:rFonts w:ascii="Monotype Corsiva" w:hAnsi="Monotype Corsiva"/>
          <w:b/>
          <w:sz w:val="44"/>
        </w:rPr>
        <w:t>Условия осуществления образовательного процесса</w:t>
      </w:r>
    </w:p>
    <w:p w:rsidR="00A61280" w:rsidRPr="009471C4" w:rsidRDefault="00A61280" w:rsidP="00A61280">
      <w:pPr>
        <w:spacing w:after="0" w:line="240" w:lineRule="auto"/>
        <w:jc w:val="center"/>
        <w:rPr>
          <w:rFonts w:ascii="Times New Roman" w:hAnsi="Times New Roman"/>
          <w:i/>
          <w:sz w:val="52"/>
        </w:rPr>
      </w:pPr>
      <w:r w:rsidRPr="009471C4">
        <w:rPr>
          <w:rFonts w:ascii="Times New Roman" w:hAnsi="Times New Roman"/>
          <w:b/>
          <w:i/>
          <w:sz w:val="32"/>
        </w:rPr>
        <w:t>Ресурсная база образовательного учреждения</w:t>
      </w:r>
    </w:p>
    <w:p w:rsidR="00A61280" w:rsidRPr="002E1085" w:rsidRDefault="00A61280" w:rsidP="00A612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6"/>
        </w:rPr>
      </w:pPr>
      <w:r w:rsidRPr="002E1085">
        <w:rPr>
          <w:rFonts w:ascii="Times New Roman" w:hAnsi="Times New Roman"/>
          <w:color w:val="000000"/>
          <w:sz w:val="28"/>
        </w:rPr>
        <w:t>Здание и земельный участок являются собственность Тульской области, опер</w:t>
      </w:r>
      <w:r w:rsidRPr="002E1085">
        <w:rPr>
          <w:rFonts w:ascii="Times New Roman" w:hAnsi="Times New Roman"/>
          <w:color w:val="000000"/>
          <w:sz w:val="28"/>
        </w:rPr>
        <w:t>а</w:t>
      </w:r>
      <w:r w:rsidRPr="002E1085">
        <w:rPr>
          <w:rFonts w:ascii="Times New Roman" w:hAnsi="Times New Roman"/>
          <w:color w:val="000000"/>
          <w:sz w:val="28"/>
        </w:rPr>
        <w:t>тивного управления</w:t>
      </w:r>
      <w:r w:rsidRPr="002E1085">
        <w:rPr>
          <w:rFonts w:ascii="Times New Roman" w:hAnsi="Times New Roman"/>
          <w:color w:val="000000"/>
          <w:sz w:val="36"/>
        </w:rPr>
        <w:t xml:space="preserve"> </w:t>
      </w:r>
    </w:p>
    <w:p w:rsidR="00A61280" w:rsidRDefault="00A61280" w:rsidP="00A61280">
      <w:pPr>
        <w:tabs>
          <w:tab w:val="right" w:pos="969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1C1F57">
        <w:rPr>
          <w:rFonts w:ascii="Times New Roman" w:hAnsi="Times New Roman"/>
          <w:color w:val="000000"/>
          <w:sz w:val="28"/>
        </w:rPr>
        <w:t xml:space="preserve">Общая площадь земельного участка: </w:t>
      </w:r>
      <w:r w:rsidRPr="001C1F57">
        <w:rPr>
          <w:rFonts w:ascii="Times New Roman" w:hAnsi="Times New Roman"/>
          <w:sz w:val="28"/>
        </w:rPr>
        <w:t>5950</w:t>
      </w:r>
      <w:r w:rsidRPr="001C1F57">
        <w:rPr>
          <w:rFonts w:ascii="Times New Roman" w:hAnsi="Times New Roman"/>
          <w:color w:val="000000"/>
          <w:sz w:val="28"/>
        </w:rPr>
        <w:t xml:space="preserve"> кв.м.</w:t>
      </w:r>
      <w:r>
        <w:rPr>
          <w:rFonts w:ascii="Times New Roman" w:hAnsi="Times New Roman"/>
          <w:color w:val="000000"/>
          <w:sz w:val="28"/>
        </w:rPr>
        <w:tab/>
      </w:r>
    </w:p>
    <w:p w:rsidR="00A61280" w:rsidRDefault="00A61280" w:rsidP="00A61280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Общая площадь здания: </w:t>
      </w:r>
      <w:r w:rsidRPr="001C1F57">
        <w:rPr>
          <w:rFonts w:ascii="Times New Roman" w:hAnsi="Times New Roman"/>
          <w:sz w:val="28"/>
          <w:szCs w:val="28"/>
        </w:rPr>
        <w:t>4931 кв</w:t>
      </w:r>
      <w:proofErr w:type="gramStart"/>
      <w:r w:rsidRPr="001C1F57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4"/>
        </w:rPr>
        <w:t>,  процент износа: 28%.</w:t>
      </w:r>
    </w:p>
    <w:p w:rsidR="00A61280" w:rsidRPr="002217D6" w:rsidRDefault="00A61280" w:rsidP="00A61280">
      <w:pPr>
        <w:spacing w:after="0" w:line="240" w:lineRule="auto"/>
        <w:ind w:firstLine="567"/>
        <w:rPr>
          <w:rFonts w:ascii="Times New Roman" w:hAnsi="Times New Roman"/>
          <w:sz w:val="36"/>
          <w:szCs w:val="24"/>
        </w:rPr>
      </w:pPr>
      <w:r w:rsidRPr="00815B71">
        <w:rPr>
          <w:rFonts w:ascii="Times New Roman" w:hAnsi="Times New Roman"/>
          <w:color w:val="000000"/>
          <w:sz w:val="28"/>
        </w:rPr>
        <w:t>Арендуем</w:t>
      </w:r>
      <w:r>
        <w:rPr>
          <w:rFonts w:ascii="Times New Roman" w:hAnsi="Times New Roman"/>
          <w:color w:val="000000"/>
          <w:sz w:val="28"/>
        </w:rPr>
        <w:t>ых</w:t>
      </w:r>
      <w:r w:rsidRPr="00815B71">
        <w:rPr>
          <w:rFonts w:ascii="Times New Roman" w:hAnsi="Times New Roman"/>
          <w:color w:val="000000"/>
          <w:sz w:val="28"/>
        </w:rPr>
        <w:t xml:space="preserve"> площад</w:t>
      </w:r>
      <w:r>
        <w:rPr>
          <w:rFonts w:ascii="Times New Roman" w:hAnsi="Times New Roman"/>
          <w:color w:val="000000"/>
          <w:sz w:val="28"/>
        </w:rPr>
        <w:t>ей</w:t>
      </w:r>
      <w:r w:rsidRPr="00815B71">
        <w:rPr>
          <w:rFonts w:ascii="Times New Roman" w:hAnsi="Times New Roman"/>
          <w:color w:val="000000"/>
          <w:sz w:val="28"/>
        </w:rPr>
        <w:t xml:space="preserve"> нет</w:t>
      </w:r>
      <w:r>
        <w:rPr>
          <w:rFonts w:ascii="Times New Roman" w:hAnsi="Times New Roman"/>
          <w:color w:val="000000"/>
          <w:sz w:val="28"/>
        </w:rPr>
        <w:t>.</w:t>
      </w:r>
      <w:r w:rsidRPr="00815B71">
        <w:rPr>
          <w:rFonts w:ascii="Times New Roman" w:hAnsi="Times New Roman"/>
          <w:sz w:val="36"/>
          <w:szCs w:val="24"/>
        </w:rPr>
        <w:t xml:space="preserve"> </w:t>
      </w:r>
    </w:p>
    <w:p w:rsidR="00A61280" w:rsidRPr="001C1F57" w:rsidRDefault="00A61280" w:rsidP="00A61280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1C1F57">
        <w:rPr>
          <w:rFonts w:ascii="Times New Roman" w:hAnsi="Times New Roman"/>
          <w:sz w:val="28"/>
          <w:szCs w:val="24"/>
        </w:rPr>
        <w:t xml:space="preserve">Имущество, закрепленное за </w:t>
      </w:r>
      <w:r>
        <w:rPr>
          <w:rFonts w:ascii="Times New Roman" w:hAnsi="Times New Roman"/>
          <w:sz w:val="28"/>
          <w:szCs w:val="24"/>
        </w:rPr>
        <w:t xml:space="preserve">ГОУ НПО ТО «ПУ-2» </w:t>
      </w:r>
      <w:r w:rsidRPr="001C1F57">
        <w:rPr>
          <w:rFonts w:ascii="Times New Roman" w:hAnsi="Times New Roman"/>
          <w:sz w:val="28"/>
          <w:szCs w:val="24"/>
        </w:rPr>
        <w:t>в том числе:</w:t>
      </w:r>
    </w:p>
    <w:p w:rsidR="00A61280" w:rsidRPr="001C1F57" w:rsidRDefault="00A61280" w:rsidP="00A61280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1C1F57">
        <w:rPr>
          <w:rFonts w:ascii="Times New Roman" w:hAnsi="Times New Roman"/>
          <w:sz w:val="28"/>
          <w:szCs w:val="24"/>
        </w:rPr>
        <w:t>- недвижимое имущество</w:t>
      </w:r>
      <w:r>
        <w:rPr>
          <w:rFonts w:ascii="Times New Roman" w:hAnsi="Times New Roman"/>
          <w:sz w:val="28"/>
          <w:szCs w:val="24"/>
        </w:rPr>
        <w:t xml:space="preserve"> – общая балансовая стоимость 5606 тыс. руб.</w:t>
      </w:r>
    </w:p>
    <w:p w:rsidR="00A61280" w:rsidRDefault="00A61280" w:rsidP="00A612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1C1F57">
        <w:rPr>
          <w:rFonts w:ascii="Times New Roman" w:hAnsi="Times New Roman"/>
          <w:sz w:val="28"/>
          <w:szCs w:val="24"/>
        </w:rPr>
        <w:t>- особо ценное движимое имущество</w:t>
      </w:r>
      <w:r>
        <w:rPr>
          <w:rFonts w:ascii="Times New Roman" w:hAnsi="Times New Roman"/>
          <w:sz w:val="28"/>
          <w:szCs w:val="24"/>
        </w:rPr>
        <w:t xml:space="preserve"> – общая балансовая стоимость 1324,2 тыс. руб.</w:t>
      </w:r>
    </w:p>
    <w:p w:rsidR="00A61280" w:rsidRDefault="00A61280" w:rsidP="00A612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C15E0">
        <w:rPr>
          <w:rFonts w:ascii="Times New Roman" w:hAnsi="Times New Roman"/>
          <w:sz w:val="28"/>
        </w:rPr>
        <w:t>Училище представляет собой учебный комплекс, состоящий из трех о</w:t>
      </w:r>
      <w:r w:rsidRPr="006C15E0">
        <w:rPr>
          <w:rFonts w:ascii="Times New Roman" w:hAnsi="Times New Roman"/>
          <w:sz w:val="28"/>
        </w:rPr>
        <w:t>с</w:t>
      </w:r>
      <w:r w:rsidRPr="006C15E0">
        <w:rPr>
          <w:rFonts w:ascii="Times New Roman" w:hAnsi="Times New Roman"/>
          <w:sz w:val="28"/>
        </w:rPr>
        <w:t xml:space="preserve">новных </w:t>
      </w:r>
      <w:r>
        <w:rPr>
          <w:rFonts w:ascii="Times New Roman" w:hAnsi="Times New Roman"/>
          <w:sz w:val="28"/>
        </w:rPr>
        <w:t xml:space="preserve">панельных </w:t>
      </w:r>
      <w:r w:rsidRPr="006C15E0">
        <w:rPr>
          <w:rFonts w:ascii="Times New Roman" w:hAnsi="Times New Roman"/>
          <w:sz w:val="28"/>
        </w:rPr>
        <w:t>корпу</w:t>
      </w:r>
      <w:r>
        <w:rPr>
          <w:rFonts w:ascii="Times New Roman" w:hAnsi="Times New Roman"/>
          <w:sz w:val="28"/>
        </w:rPr>
        <w:t xml:space="preserve">сов, связанных крытым переходом общей площадью </w:t>
      </w:r>
      <w:r w:rsidRPr="001C1F57">
        <w:rPr>
          <w:rFonts w:ascii="Times New Roman" w:hAnsi="Times New Roman"/>
          <w:sz w:val="28"/>
          <w:szCs w:val="28"/>
        </w:rPr>
        <w:t>4931 кв</w:t>
      </w:r>
      <w:proofErr w:type="gramStart"/>
      <w:r w:rsidRPr="001C1F57">
        <w:rPr>
          <w:rFonts w:ascii="Times New Roman" w:hAnsi="Times New Roman"/>
          <w:sz w:val="28"/>
          <w:szCs w:val="28"/>
        </w:rPr>
        <w:t>.м</w:t>
      </w:r>
      <w:proofErr w:type="gramEnd"/>
      <w:r w:rsidRPr="001C1F57">
        <w:rPr>
          <w:rFonts w:ascii="Times New Roman" w:hAnsi="Times New Roman"/>
          <w:sz w:val="28"/>
          <w:szCs w:val="28"/>
        </w:rPr>
        <w:t>:</w:t>
      </w:r>
    </w:p>
    <w:p w:rsidR="00A61280" w:rsidRDefault="00A61280" w:rsidP="00A61280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C15E0">
        <w:rPr>
          <w:rFonts w:ascii="Times New Roman" w:hAnsi="Times New Roman"/>
          <w:sz w:val="28"/>
        </w:rPr>
        <w:t>учебный корпус – трехэтажное здание</w:t>
      </w:r>
      <w:r>
        <w:rPr>
          <w:rFonts w:ascii="Times New Roman" w:hAnsi="Times New Roman"/>
          <w:sz w:val="28"/>
        </w:rPr>
        <w:t>, имеющее</w:t>
      </w:r>
      <w:r w:rsidRPr="006C15E0">
        <w:rPr>
          <w:rFonts w:ascii="Times New Roman" w:hAnsi="Times New Roman"/>
          <w:sz w:val="28"/>
        </w:rPr>
        <w:t xml:space="preserve"> </w:t>
      </w:r>
    </w:p>
    <w:p w:rsidR="00A61280" w:rsidRDefault="00A61280" w:rsidP="00A61280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 </w:t>
      </w:r>
      <w:r w:rsidRPr="006C15E0">
        <w:rPr>
          <w:rFonts w:ascii="Times New Roman" w:hAnsi="Times New Roman"/>
          <w:sz w:val="28"/>
        </w:rPr>
        <w:t>учебны</w:t>
      </w:r>
      <w:r>
        <w:rPr>
          <w:rFonts w:ascii="Times New Roman" w:hAnsi="Times New Roman"/>
          <w:sz w:val="28"/>
        </w:rPr>
        <w:t>х</w:t>
      </w:r>
      <w:r w:rsidRPr="006C15E0">
        <w:rPr>
          <w:rFonts w:ascii="Times New Roman" w:hAnsi="Times New Roman"/>
          <w:sz w:val="28"/>
        </w:rPr>
        <w:t xml:space="preserve"> кабинет</w:t>
      </w:r>
      <w:r>
        <w:rPr>
          <w:rFonts w:ascii="Times New Roman" w:hAnsi="Times New Roman"/>
          <w:sz w:val="28"/>
        </w:rPr>
        <w:t>ов</w:t>
      </w:r>
      <w:r w:rsidRPr="006C15E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8 из них со смежной лабораторией, </w:t>
      </w:r>
    </w:p>
    <w:p w:rsidR="00A61280" w:rsidRDefault="00A61280" w:rsidP="00A61280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конференц-зал, </w:t>
      </w:r>
    </w:p>
    <w:p w:rsidR="00A61280" w:rsidRDefault="00A61280" w:rsidP="00A61280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 w:rsidRPr="006C15E0">
        <w:rPr>
          <w:rFonts w:ascii="Times New Roman" w:hAnsi="Times New Roman"/>
          <w:sz w:val="28"/>
        </w:rPr>
        <w:t>административны</w:t>
      </w:r>
      <w:r>
        <w:rPr>
          <w:rFonts w:ascii="Times New Roman" w:hAnsi="Times New Roman"/>
          <w:sz w:val="28"/>
        </w:rPr>
        <w:t>е</w:t>
      </w:r>
      <w:r w:rsidRPr="006C15E0">
        <w:rPr>
          <w:rFonts w:ascii="Times New Roman" w:hAnsi="Times New Roman"/>
          <w:sz w:val="28"/>
        </w:rPr>
        <w:t xml:space="preserve"> и хозяйстве</w:t>
      </w:r>
      <w:r w:rsidRPr="006C15E0">
        <w:rPr>
          <w:rFonts w:ascii="Times New Roman" w:hAnsi="Times New Roman"/>
          <w:sz w:val="28"/>
        </w:rPr>
        <w:t>н</w:t>
      </w:r>
      <w:r w:rsidRPr="006C15E0"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z w:val="28"/>
        </w:rPr>
        <w:t>е</w:t>
      </w:r>
      <w:r w:rsidRPr="006C15E0">
        <w:rPr>
          <w:rFonts w:ascii="Times New Roman" w:hAnsi="Times New Roman"/>
          <w:sz w:val="28"/>
        </w:rPr>
        <w:t xml:space="preserve"> помещения, </w:t>
      </w:r>
    </w:p>
    <w:p w:rsidR="00A61280" w:rsidRDefault="00A61280" w:rsidP="00A61280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 w:rsidRPr="006C15E0">
        <w:rPr>
          <w:rFonts w:ascii="Times New Roman" w:hAnsi="Times New Roman"/>
          <w:sz w:val="28"/>
        </w:rPr>
        <w:t xml:space="preserve">рекреации, </w:t>
      </w:r>
    </w:p>
    <w:p w:rsidR="00A61280" w:rsidRDefault="00A61280" w:rsidP="00A612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proofErr w:type="gramStart"/>
      <w:r w:rsidRPr="002217D6">
        <w:rPr>
          <w:rFonts w:ascii="Times New Roman" w:hAnsi="Times New Roman"/>
          <w:sz w:val="28"/>
        </w:rPr>
        <w:t>учебно-производственные мастерские – двухэтажное здание, в котором  обор</w:t>
      </w:r>
      <w:r w:rsidRPr="002217D6">
        <w:rPr>
          <w:rFonts w:ascii="Times New Roman" w:hAnsi="Times New Roman"/>
          <w:sz w:val="28"/>
        </w:rPr>
        <w:t>у</w:t>
      </w:r>
      <w:r w:rsidRPr="002217D6">
        <w:rPr>
          <w:rFonts w:ascii="Times New Roman" w:hAnsi="Times New Roman"/>
          <w:sz w:val="28"/>
        </w:rPr>
        <w:t xml:space="preserve">довано 7 учебно-производственных мастерских: по профессиям «Станочник», </w:t>
      </w:r>
      <w:r>
        <w:rPr>
          <w:rFonts w:ascii="Times New Roman" w:hAnsi="Times New Roman"/>
          <w:sz w:val="28"/>
        </w:rPr>
        <w:t>«Сварщик», «Модельщик», «Электромонтёр по ремонту и обслуживанию оборуд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вания», </w:t>
      </w:r>
      <w:r w:rsidRPr="00AB18FB">
        <w:rPr>
          <w:rFonts w:ascii="Times New Roman" w:hAnsi="Times New Roman"/>
          <w:color w:val="000000"/>
          <w:sz w:val="28"/>
        </w:rPr>
        <w:t xml:space="preserve">«Маникюрша», </w:t>
      </w:r>
      <w:r>
        <w:rPr>
          <w:rFonts w:ascii="Times New Roman" w:hAnsi="Times New Roman"/>
          <w:sz w:val="28"/>
        </w:rPr>
        <w:t>2 мастерские по профессии «П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рикмахер» </w:t>
      </w:r>
      <w:proofErr w:type="gramEnd"/>
    </w:p>
    <w:p w:rsidR="00A61280" w:rsidRPr="00AB18FB" w:rsidRDefault="00A61280" w:rsidP="00A61280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148590</wp:posOffset>
            </wp:positionV>
            <wp:extent cx="3019425" cy="1733550"/>
            <wp:effectExtent l="19050" t="0" r="9525" b="0"/>
            <wp:wrapTight wrapText="bothSides">
              <wp:wrapPolygon edited="0">
                <wp:start x="-136" y="0"/>
                <wp:lineTo x="-136" y="21363"/>
                <wp:lineTo x="21668" y="21363"/>
                <wp:lineTo x="21668" y="0"/>
                <wp:lineTo x="-136" y="0"/>
              </wp:wrapPolygon>
            </wp:wrapTight>
            <wp:docPr id="10" name="Рисунок 54" descr="D:\фотоархив ПУ-2\Фотографии\фото-архив\2010-2011 учебный год\наше училище\наше училище сегодня\кабинеты 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D:\фотоархив ПУ-2\Фотографии\фото-архив\2010-2011 учебный год\наше училище\наше училище сегодня\кабинеты 0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469" b="15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8FB">
        <w:rPr>
          <w:rFonts w:ascii="Times New Roman" w:hAnsi="Times New Roman"/>
          <w:color w:val="000000"/>
          <w:sz w:val="28"/>
        </w:rPr>
        <w:t>имеется слесарная мастерская</w:t>
      </w:r>
      <w:r>
        <w:rPr>
          <w:rFonts w:ascii="Times New Roman" w:hAnsi="Times New Roman"/>
          <w:color w:val="000000"/>
          <w:sz w:val="28"/>
        </w:rPr>
        <w:t>;</w:t>
      </w:r>
    </w:p>
    <w:p w:rsidR="00A61280" w:rsidRDefault="00A61280" w:rsidP="00A61280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C15E0">
        <w:rPr>
          <w:rFonts w:ascii="Times New Roman" w:hAnsi="Times New Roman"/>
          <w:sz w:val="28"/>
        </w:rPr>
        <w:t>общественно-бытовой корпус</w:t>
      </w:r>
      <w:r>
        <w:rPr>
          <w:rFonts w:ascii="Times New Roman" w:hAnsi="Times New Roman"/>
          <w:sz w:val="28"/>
        </w:rPr>
        <w:t xml:space="preserve"> </w:t>
      </w:r>
      <w:r w:rsidRPr="006C15E0">
        <w:rPr>
          <w:rFonts w:ascii="Times New Roman" w:hAnsi="Times New Roman"/>
          <w:sz w:val="28"/>
        </w:rPr>
        <w:t xml:space="preserve">– двухэтажное здание состоит </w:t>
      </w:r>
      <w:proofErr w:type="gramStart"/>
      <w:r w:rsidRPr="006C15E0">
        <w:rPr>
          <w:rFonts w:ascii="Times New Roman" w:hAnsi="Times New Roman"/>
          <w:sz w:val="28"/>
        </w:rPr>
        <w:t>из</w:t>
      </w:r>
      <w:proofErr w:type="gramEnd"/>
      <w:r w:rsidRPr="006C15E0">
        <w:rPr>
          <w:rFonts w:ascii="Times New Roman" w:hAnsi="Times New Roman"/>
          <w:sz w:val="28"/>
        </w:rPr>
        <w:t xml:space="preserve"> </w:t>
      </w:r>
    </w:p>
    <w:p w:rsidR="00A61280" w:rsidRDefault="00A61280" w:rsidP="00A61280">
      <w:pPr>
        <w:pStyle w:val="a7"/>
        <w:numPr>
          <w:ilvl w:val="0"/>
          <w:numId w:val="4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актового зала общей </w:t>
      </w:r>
      <w:r w:rsidRPr="002E1085">
        <w:rPr>
          <w:rFonts w:ascii="Times New Roman" w:hAnsi="Times New Roman"/>
          <w:color w:val="000000"/>
          <w:sz w:val="28"/>
        </w:rPr>
        <w:t>пл</w:t>
      </w:r>
      <w:r w:rsidRPr="002E1085">
        <w:rPr>
          <w:rFonts w:ascii="Times New Roman" w:hAnsi="Times New Roman"/>
          <w:color w:val="000000"/>
          <w:sz w:val="28"/>
        </w:rPr>
        <w:t>о</w:t>
      </w:r>
      <w:r w:rsidRPr="002E1085">
        <w:rPr>
          <w:rFonts w:ascii="Times New Roman" w:hAnsi="Times New Roman"/>
          <w:color w:val="000000"/>
          <w:sz w:val="28"/>
        </w:rPr>
        <w:t xml:space="preserve">щадью </w:t>
      </w:r>
      <w:smartTag w:uri="urn:schemas-microsoft-com:office:smarttags" w:element="metricconverter">
        <w:smartTagPr>
          <w:attr w:name="ProductID" w:val="177,4 кв. м"/>
        </w:smartTagPr>
        <w:r w:rsidRPr="002E1085">
          <w:rPr>
            <w:rFonts w:ascii="Times New Roman" w:hAnsi="Times New Roman"/>
            <w:color w:val="000000"/>
            <w:sz w:val="28"/>
          </w:rPr>
          <w:t>177,4 кв. м</w:t>
        </w:r>
      </w:smartTag>
      <w:r w:rsidRPr="002E1085">
        <w:rPr>
          <w:rFonts w:ascii="Times New Roman" w:hAnsi="Times New Roman"/>
          <w:color w:val="000000"/>
          <w:sz w:val="28"/>
        </w:rPr>
        <w:t xml:space="preserve">, </w:t>
      </w:r>
    </w:p>
    <w:p w:rsidR="00A61280" w:rsidRPr="002E1085" w:rsidRDefault="00A61280" w:rsidP="00A61280">
      <w:pPr>
        <w:pStyle w:val="a7"/>
        <w:numPr>
          <w:ilvl w:val="0"/>
          <w:numId w:val="4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спортивного зала, </w:t>
      </w:r>
      <w:r w:rsidRPr="002E1085">
        <w:rPr>
          <w:rFonts w:ascii="Times New Roman" w:hAnsi="Times New Roman"/>
          <w:color w:val="000000"/>
          <w:sz w:val="28"/>
        </w:rPr>
        <w:t>площ</w:t>
      </w:r>
      <w:r w:rsidRPr="002E1085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дью 287,8 кв</w:t>
      </w:r>
      <w:proofErr w:type="gramStart"/>
      <w:r>
        <w:rPr>
          <w:rFonts w:ascii="Times New Roman" w:hAnsi="Times New Roman"/>
          <w:color w:val="000000"/>
          <w:sz w:val="28"/>
        </w:rPr>
        <w:t>.м</w:t>
      </w:r>
      <w:proofErr w:type="gramEnd"/>
      <w:r>
        <w:rPr>
          <w:rFonts w:ascii="Times New Roman" w:hAnsi="Times New Roman"/>
          <w:color w:val="000000"/>
          <w:sz w:val="28"/>
        </w:rPr>
        <w:t xml:space="preserve">, на территории </w:t>
      </w:r>
      <w:r w:rsidRPr="002E1085">
        <w:rPr>
          <w:rFonts w:ascii="Times New Roman" w:hAnsi="Times New Roman"/>
          <w:color w:val="000000"/>
          <w:sz w:val="28"/>
        </w:rPr>
        <w:t>учил</w:t>
      </w:r>
      <w:r w:rsidRPr="002E1085">
        <w:rPr>
          <w:rFonts w:ascii="Times New Roman" w:hAnsi="Times New Roman"/>
          <w:color w:val="000000"/>
          <w:sz w:val="28"/>
        </w:rPr>
        <w:t>и</w:t>
      </w:r>
      <w:r w:rsidRPr="002E1085">
        <w:rPr>
          <w:rFonts w:ascii="Times New Roman" w:hAnsi="Times New Roman"/>
          <w:color w:val="000000"/>
          <w:sz w:val="28"/>
        </w:rPr>
        <w:t>ща имеется оборудованная спортивная площа</w:t>
      </w:r>
      <w:r w:rsidRPr="002E1085">
        <w:rPr>
          <w:rFonts w:ascii="Times New Roman" w:hAnsi="Times New Roman"/>
          <w:color w:val="000000"/>
          <w:sz w:val="28"/>
        </w:rPr>
        <w:t>д</w:t>
      </w:r>
      <w:r w:rsidRPr="002E1085">
        <w:rPr>
          <w:rFonts w:ascii="Times New Roman" w:hAnsi="Times New Roman"/>
          <w:color w:val="000000"/>
          <w:sz w:val="28"/>
        </w:rPr>
        <w:t xml:space="preserve">ка </w:t>
      </w:r>
    </w:p>
    <w:p w:rsidR="00A61280" w:rsidRDefault="00A61280" w:rsidP="00A61280">
      <w:pPr>
        <w:pStyle w:val="a7"/>
        <w:numPr>
          <w:ilvl w:val="0"/>
          <w:numId w:val="4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16510</wp:posOffset>
            </wp:positionV>
            <wp:extent cx="3228975" cy="2047875"/>
            <wp:effectExtent l="19050" t="0" r="9525" b="0"/>
            <wp:wrapTight wrapText="bothSides">
              <wp:wrapPolygon edited="0">
                <wp:start x="-127" y="0"/>
                <wp:lineTo x="-127" y="21500"/>
                <wp:lineTo x="21664" y="21500"/>
                <wp:lineTo x="21664" y="0"/>
                <wp:lineTo x="-127" y="0"/>
              </wp:wrapPolygon>
            </wp:wrapTight>
            <wp:docPr id="9" name="Рисунок 55" descr="D:\фотоархив ПУ-2\Фотографии\фото-архив\2010-2011 учебный год\наше училище\наше училище сегодня\Приборы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D:\фотоархив ПУ-2\Фотографии\фото-архив\2010-2011 учебный год\наше училище\наше училище сегодня\Приборы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9" t="17635" r="18381" b="14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085">
        <w:rPr>
          <w:rFonts w:ascii="Times New Roman" w:hAnsi="Times New Roman"/>
          <w:color w:val="000000"/>
          <w:sz w:val="28"/>
        </w:rPr>
        <w:t>столовой с обеденным залом на 92 человека, кухни и подсобных п</w:t>
      </w:r>
      <w:r w:rsidRPr="002E1085"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мещений для </w:t>
      </w:r>
      <w:r w:rsidRPr="002E1085">
        <w:rPr>
          <w:rFonts w:ascii="Times New Roman" w:hAnsi="Times New Roman"/>
          <w:color w:val="000000"/>
          <w:sz w:val="28"/>
        </w:rPr>
        <w:t>приготовления пищи и хранения продуктов площадью 151,16 кв</w:t>
      </w:r>
      <w:proofErr w:type="gramStart"/>
      <w:r w:rsidRPr="002E1085">
        <w:rPr>
          <w:rFonts w:ascii="Times New Roman" w:hAnsi="Times New Roman"/>
          <w:color w:val="000000"/>
          <w:sz w:val="28"/>
        </w:rPr>
        <w:t>.м</w:t>
      </w:r>
      <w:proofErr w:type="gramEnd"/>
      <w:r w:rsidRPr="002E1085">
        <w:rPr>
          <w:rFonts w:ascii="Times New Roman" w:hAnsi="Times New Roman"/>
          <w:color w:val="000000"/>
          <w:sz w:val="28"/>
        </w:rPr>
        <w:t>,</w:t>
      </w:r>
    </w:p>
    <w:p w:rsidR="00A61280" w:rsidRPr="00B830C7" w:rsidRDefault="00A61280" w:rsidP="00A61280">
      <w:pPr>
        <w:pStyle w:val="a7"/>
        <w:numPr>
          <w:ilvl w:val="0"/>
          <w:numId w:val="4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B215F">
        <w:rPr>
          <w:rFonts w:ascii="Times New Roman" w:hAnsi="Times New Roman"/>
          <w:sz w:val="28"/>
          <w:szCs w:val="28"/>
        </w:rPr>
        <w:t>библиотеки общей площадью – 95,4 кв.м. с ч</w:t>
      </w:r>
      <w:r w:rsidRPr="00B830C7">
        <w:rPr>
          <w:rFonts w:ascii="Times New Roman" w:hAnsi="Times New Roman"/>
          <w:sz w:val="28"/>
          <w:szCs w:val="28"/>
        </w:rPr>
        <w:t>итальным залом</w:t>
      </w:r>
      <w:r>
        <w:rPr>
          <w:rFonts w:ascii="Times New Roman" w:hAnsi="Times New Roman"/>
          <w:sz w:val="28"/>
          <w:szCs w:val="28"/>
        </w:rPr>
        <w:t xml:space="preserve"> (площадь 68,3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Pr="00B830C7">
        <w:rPr>
          <w:rFonts w:ascii="Times New Roman" w:hAnsi="Times New Roman"/>
          <w:sz w:val="28"/>
          <w:szCs w:val="28"/>
        </w:rPr>
        <w:t>, имеющая учебный фонд – 1713 экзем</w:t>
      </w:r>
      <w:r>
        <w:rPr>
          <w:rFonts w:ascii="Times New Roman" w:hAnsi="Times New Roman"/>
          <w:sz w:val="28"/>
          <w:szCs w:val="28"/>
        </w:rPr>
        <w:t xml:space="preserve">пляров, в том числе </w:t>
      </w:r>
      <w:r>
        <w:rPr>
          <w:rFonts w:ascii="Times New Roman" w:hAnsi="Times New Roman"/>
          <w:sz w:val="28"/>
          <w:szCs w:val="28"/>
        </w:rPr>
        <w:lastRenderedPageBreak/>
        <w:t>фонд учебно-</w:t>
      </w:r>
      <w:r w:rsidRPr="00B830C7">
        <w:rPr>
          <w:rFonts w:ascii="Times New Roman" w:hAnsi="Times New Roman"/>
          <w:sz w:val="28"/>
          <w:szCs w:val="28"/>
        </w:rPr>
        <w:t>методической литературы – 1109 экземпляров и более 600 экземпляров художес</w:t>
      </w:r>
      <w:r w:rsidRPr="00B830C7">
        <w:rPr>
          <w:rFonts w:ascii="Times New Roman" w:hAnsi="Times New Roman"/>
          <w:sz w:val="28"/>
          <w:szCs w:val="28"/>
        </w:rPr>
        <w:t>т</w:t>
      </w:r>
      <w:r w:rsidRPr="00B830C7">
        <w:rPr>
          <w:rFonts w:ascii="Times New Roman" w:hAnsi="Times New Roman"/>
          <w:sz w:val="28"/>
          <w:szCs w:val="28"/>
        </w:rPr>
        <w:t>венной литературы.</w:t>
      </w:r>
    </w:p>
    <w:p w:rsidR="00A61280" w:rsidRPr="00B830C7" w:rsidRDefault="00A61280" w:rsidP="00A612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B830C7">
        <w:rPr>
          <w:rFonts w:ascii="Times New Roman" w:hAnsi="Times New Roman"/>
          <w:bCs/>
          <w:sz w:val="28"/>
          <w:szCs w:val="34"/>
        </w:rPr>
        <w:t>Лицензионный норматив по площади на одного обучаемого выдерживается.</w:t>
      </w:r>
      <w:r>
        <w:rPr>
          <w:rFonts w:ascii="Times New Roman" w:hAnsi="Times New Roman"/>
          <w:bCs/>
          <w:sz w:val="28"/>
          <w:szCs w:val="34"/>
        </w:rPr>
        <w:t xml:space="preserve"> </w:t>
      </w:r>
      <w:r w:rsidRPr="00B830C7">
        <w:rPr>
          <w:rFonts w:ascii="Times New Roman" w:hAnsi="Times New Roman"/>
          <w:bCs/>
          <w:sz w:val="28"/>
          <w:szCs w:val="34"/>
        </w:rPr>
        <w:t>Существующие площади позволяют вести обучение в одну смену.</w:t>
      </w:r>
    </w:p>
    <w:p w:rsidR="00A61280" w:rsidRDefault="00A61280" w:rsidP="00A6128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1280" w:rsidRDefault="00A61280" w:rsidP="00A6128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1280" w:rsidRDefault="00A61280" w:rsidP="00A6128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1280" w:rsidRPr="009471C4" w:rsidRDefault="00A61280" w:rsidP="00A6128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471C4">
        <w:rPr>
          <w:rFonts w:ascii="Times New Roman" w:hAnsi="Times New Roman"/>
          <w:b/>
          <w:i/>
          <w:sz w:val="32"/>
          <w:szCs w:val="32"/>
        </w:rPr>
        <w:t>Кадр</w:t>
      </w:r>
      <w:r>
        <w:rPr>
          <w:rFonts w:ascii="Times New Roman" w:hAnsi="Times New Roman"/>
          <w:b/>
          <w:i/>
          <w:sz w:val="32"/>
          <w:szCs w:val="32"/>
        </w:rPr>
        <w:t>овое обеспечение образовательного процесса</w:t>
      </w:r>
    </w:p>
    <w:p w:rsidR="00A61280" w:rsidRDefault="00A61280" w:rsidP="00A6128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штатному расписанию в ГОУ НПО ТО «ПУ-2» предусмотрен штат в кол</w:t>
      </w:r>
      <w:r>
        <w:rPr>
          <w:rFonts w:ascii="Times New Roman" w:hAnsi="Times New Roman"/>
          <w:sz w:val="28"/>
          <w:szCs w:val="26"/>
        </w:rPr>
        <w:t>и</w:t>
      </w:r>
      <w:r>
        <w:rPr>
          <w:rFonts w:ascii="Times New Roman" w:hAnsi="Times New Roman"/>
          <w:sz w:val="28"/>
          <w:szCs w:val="26"/>
        </w:rPr>
        <w:t xml:space="preserve">честве 59,6 единиц. </w:t>
      </w:r>
    </w:p>
    <w:p w:rsidR="00A61280" w:rsidRDefault="00A61280" w:rsidP="00A61280">
      <w:pPr>
        <w:spacing w:after="0" w:line="240" w:lineRule="auto"/>
        <w:ind w:firstLine="748"/>
        <w:jc w:val="both"/>
        <w:rPr>
          <w:rFonts w:ascii="Times New Roman" w:hAnsi="Times New Roman"/>
          <w:bCs/>
          <w:sz w:val="28"/>
          <w:szCs w:val="28"/>
        </w:rPr>
      </w:pPr>
      <w:r w:rsidRPr="005970F4">
        <w:rPr>
          <w:rFonts w:ascii="Times New Roman" w:hAnsi="Times New Roman"/>
          <w:bCs/>
          <w:sz w:val="28"/>
          <w:szCs w:val="28"/>
        </w:rPr>
        <w:t>Общее количество работников 3</w:t>
      </w:r>
      <w:r>
        <w:rPr>
          <w:rFonts w:ascii="Times New Roman" w:hAnsi="Times New Roman"/>
          <w:bCs/>
          <w:sz w:val="28"/>
          <w:szCs w:val="28"/>
        </w:rPr>
        <w:t>4</w:t>
      </w:r>
      <w:r w:rsidRPr="005970F4">
        <w:rPr>
          <w:rFonts w:ascii="Times New Roman" w:hAnsi="Times New Roman"/>
          <w:bCs/>
          <w:sz w:val="28"/>
          <w:szCs w:val="28"/>
        </w:rPr>
        <w:t xml:space="preserve"> человека: </w:t>
      </w:r>
    </w:p>
    <w:p w:rsidR="00A61280" w:rsidRDefault="00A61280" w:rsidP="00A6128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5970F4">
        <w:rPr>
          <w:rFonts w:ascii="Times New Roman" w:hAnsi="Times New Roman"/>
          <w:sz w:val="28"/>
          <w:szCs w:val="28"/>
        </w:rPr>
        <w:t xml:space="preserve">административный и инженерно-педагогический персонал - </w:t>
      </w:r>
      <w:r>
        <w:rPr>
          <w:rFonts w:ascii="Times New Roman" w:hAnsi="Times New Roman"/>
          <w:sz w:val="28"/>
          <w:szCs w:val="28"/>
        </w:rPr>
        <w:t>19</w:t>
      </w:r>
      <w:r w:rsidRPr="005970F4">
        <w:rPr>
          <w:rFonts w:ascii="Times New Roman" w:hAnsi="Times New Roman"/>
          <w:sz w:val="28"/>
          <w:szCs w:val="28"/>
        </w:rPr>
        <w:t xml:space="preserve"> человек, из них </w:t>
      </w:r>
      <w:r>
        <w:rPr>
          <w:rFonts w:ascii="Times New Roman" w:hAnsi="Times New Roman"/>
          <w:sz w:val="28"/>
          <w:szCs w:val="28"/>
        </w:rPr>
        <w:t xml:space="preserve">внешних </w:t>
      </w:r>
      <w:r w:rsidRPr="005970F4">
        <w:rPr>
          <w:rFonts w:ascii="Times New Roman" w:hAnsi="Times New Roman"/>
          <w:sz w:val="28"/>
          <w:szCs w:val="28"/>
        </w:rPr>
        <w:t xml:space="preserve">совместителей </w:t>
      </w:r>
      <w:r>
        <w:rPr>
          <w:rFonts w:ascii="Times New Roman" w:hAnsi="Times New Roman"/>
          <w:sz w:val="28"/>
          <w:szCs w:val="28"/>
        </w:rPr>
        <w:t>3</w:t>
      </w:r>
      <w:r w:rsidRPr="005970F4">
        <w:rPr>
          <w:rFonts w:ascii="Times New Roman" w:hAnsi="Times New Roman"/>
          <w:sz w:val="28"/>
          <w:szCs w:val="28"/>
        </w:rPr>
        <w:t xml:space="preserve"> человека</w:t>
      </w:r>
      <w:r>
        <w:rPr>
          <w:rFonts w:ascii="Times New Roman" w:hAnsi="Times New Roman"/>
          <w:sz w:val="28"/>
          <w:szCs w:val="28"/>
        </w:rPr>
        <w:t xml:space="preserve"> и внутренних совместителей 7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век;</w:t>
      </w:r>
      <w:r w:rsidRPr="005970F4">
        <w:rPr>
          <w:rFonts w:ascii="Times New Roman" w:hAnsi="Times New Roman"/>
          <w:sz w:val="28"/>
          <w:szCs w:val="28"/>
        </w:rPr>
        <w:t xml:space="preserve"> </w:t>
      </w:r>
    </w:p>
    <w:p w:rsidR="00A61280" w:rsidRPr="005970F4" w:rsidRDefault="00A61280" w:rsidP="00A6128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5970F4">
        <w:rPr>
          <w:rFonts w:ascii="Times New Roman" w:hAnsi="Times New Roman"/>
          <w:sz w:val="28"/>
          <w:szCs w:val="28"/>
        </w:rPr>
        <w:t>вспомогательный персонал – 1</w:t>
      </w:r>
      <w:r>
        <w:rPr>
          <w:rFonts w:ascii="Times New Roman" w:hAnsi="Times New Roman"/>
          <w:sz w:val="28"/>
          <w:szCs w:val="28"/>
        </w:rPr>
        <w:t>5</w:t>
      </w:r>
      <w:r w:rsidRPr="005970F4">
        <w:rPr>
          <w:rFonts w:ascii="Times New Roman" w:hAnsi="Times New Roman"/>
          <w:sz w:val="28"/>
          <w:szCs w:val="28"/>
        </w:rPr>
        <w:t xml:space="preserve"> человек. </w:t>
      </w:r>
    </w:p>
    <w:p w:rsidR="00A61280" w:rsidRDefault="00A61280" w:rsidP="00A61280">
      <w:pPr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5970F4">
        <w:rPr>
          <w:rFonts w:ascii="Times New Roman" w:hAnsi="Times New Roman"/>
          <w:i/>
          <w:sz w:val="28"/>
          <w:szCs w:val="28"/>
        </w:rPr>
        <w:t>озраст работников</w:t>
      </w:r>
    </w:p>
    <w:p w:rsidR="00A61280" w:rsidRDefault="00A61280" w:rsidP="00A61280">
      <w:pPr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5791200" cy="3895725"/>
            <wp:effectExtent l="0" t="0" r="0" b="0"/>
            <wp:docPr id="8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1280" w:rsidRPr="00883773" w:rsidRDefault="00A61280" w:rsidP="00A61280">
      <w:pPr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883773">
        <w:rPr>
          <w:rFonts w:ascii="Times New Roman" w:hAnsi="Times New Roman"/>
          <w:i/>
          <w:sz w:val="28"/>
          <w:szCs w:val="28"/>
        </w:rPr>
        <w:t xml:space="preserve">Качественный состав по стажу работы </w:t>
      </w:r>
      <w:r>
        <w:rPr>
          <w:rFonts w:ascii="Times New Roman" w:hAnsi="Times New Roman"/>
          <w:i/>
          <w:sz w:val="28"/>
          <w:szCs w:val="28"/>
        </w:rPr>
        <w:t xml:space="preserve">административных и </w:t>
      </w:r>
      <w:r w:rsidRPr="00883773">
        <w:rPr>
          <w:rFonts w:ascii="Times New Roman" w:hAnsi="Times New Roman"/>
          <w:i/>
          <w:sz w:val="28"/>
          <w:szCs w:val="28"/>
        </w:rPr>
        <w:t>инженерно-педагогических работников ГОУ НПО ТО «ПУ-2»:</w:t>
      </w:r>
    </w:p>
    <w:p w:rsidR="00A61280" w:rsidRDefault="00A61280" w:rsidP="00A61280">
      <w:pPr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  <w:r w:rsidRPr="00647C1F">
        <w:rPr>
          <w:rFonts w:ascii="Times New Roman" w:hAnsi="Times New Roman"/>
          <w:sz w:val="28"/>
          <w:szCs w:val="28"/>
        </w:rPr>
        <w:t xml:space="preserve">до 5 лет – </w:t>
      </w:r>
      <w:r>
        <w:rPr>
          <w:rFonts w:ascii="Times New Roman" w:hAnsi="Times New Roman"/>
          <w:sz w:val="28"/>
          <w:szCs w:val="28"/>
        </w:rPr>
        <w:t>21</w:t>
      </w:r>
      <w:r w:rsidRPr="00647C1F">
        <w:rPr>
          <w:rFonts w:ascii="Times New Roman" w:hAnsi="Times New Roman"/>
          <w:sz w:val="28"/>
          <w:szCs w:val="28"/>
        </w:rPr>
        <w:t xml:space="preserve"> %, </w:t>
      </w:r>
    </w:p>
    <w:p w:rsidR="00A61280" w:rsidRDefault="00A61280" w:rsidP="00A61280">
      <w:pPr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  <w:r w:rsidRPr="00647C1F">
        <w:rPr>
          <w:rFonts w:ascii="Times New Roman" w:hAnsi="Times New Roman"/>
          <w:sz w:val="28"/>
          <w:szCs w:val="28"/>
        </w:rPr>
        <w:t xml:space="preserve">от 5 до 10 лет – </w:t>
      </w:r>
      <w:r>
        <w:rPr>
          <w:rFonts w:ascii="Times New Roman" w:hAnsi="Times New Roman"/>
          <w:sz w:val="28"/>
          <w:szCs w:val="28"/>
        </w:rPr>
        <w:t>11</w:t>
      </w:r>
      <w:r w:rsidRPr="00647C1F">
        <w:rPr>
          <w:rFonts w:ascii="Times New Roman" w:hAnsi="Times New Roman"/>
          <w:sz w:val="28"/>
          <w:szCs w:val="28"/>
        </w:rPr>
        <w:t xml:space="preserve"> %, </w:t>
      </w:r>
    </w:p>
    <w:p w:rsidR="00A61280" w:rsidRDefault="00A61280" w:rsidP="00A61280">
      <w:pPr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  <w:r w:rsidRPr="00647C1F">
        <w:rPr>
          <w:rFonts w:ascii="Times New Roman" w:hAnsi="Times New Roman"/>
          <w:sz w:val="28"/>
          <w:szCs w:val="28"/>
        </w:rPr>
        <w:t xml:space="preserve">от 10 до 20 лет – </w:t>
      </w:r>
      <w:r>
        <w:rPr>
          <w:rFonts w:ascii="Times New Roman" w:hAnsi="Times New Roman"/>
          <w:sz w:val="28"/>
          <w:szCs w:val="28"/>
        </w:rPr>
        <w:t>26</w:t>
      </w:r>
      <w:r w:rsidRPr="00647C1F">
        <w:rPr>
          <w:rFonts w:ascii="Times New Roman" w:hAnsi="Times New Roman"/>
          <w:sz w:val="28"/>
          <w:szCs w:val="28"/>
        </w:rPr>
        <w:t xml:space="preserve"> %, </w:t>
      </w:r>
    </w:p>
    <w:p w:rsidR="00A61280" w:rsidRPr="00647C1F" w:rsidRDefault="00A61280" w:rsidP="00A61280">
      <w:pPr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  <w:r w:rsidRPr="00647C1F">
        <w:rPr>
          <w:rFonts w:ascii="Times New Roman" w:hAnsi="Times New Roman"/>
          <w:sz w:val="28"/>
          <w:szCs w:val="28"/>
        </w:rPr>
        <w:t xml:space="preserve">свыше 20 лет – </w:t>
      </w:r>
      <w:r>
        <w:rPr>
          <w:rFonts w:ascii="Times New Roman" w:hAnsi="Times New Roman"/>
          <w:sz w:val="28"/>
          <w:szCs w:val="28"/>
        </w:rPr>
        <w:t xml:space="preserve">42 </w:t>
      </w:r>
      <w:r w:rsidRPr="00647C1F">
        <w:rPr>
          <w:rFonts w:ascii="Times New Roman" w:hAnsi="Times New Roman"/>
          <w:sz w:val="28"/>
          <w:szCs w:val="28"/>
        </w:rPr>
        <w:t>%.</w:t>
      </w:r>
    </w:p>
    <w:p w:rsidR="00A61280" w:rsidRDefault="00A61280" w:rsidP="00A61280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A4694">
        <w:rPr>
          <w:rFonts w:ascii="Times New Roman" w:hAnsi="Times New Roman"/>
          <w:i/>
          <w:sz w:val="28"/>
          <w:szCs w:val="28"/>
        </w:rPr>
        <w:t xml:space="preserve">Качественный состав </w:t>
      </w:r>
      <w:r w:rsidRPr="00883773">
        <w:rPr>
          <w:rFonts w:ascii="Times New Roman" w:hAnsi="Times New Roman"/>
          <w:i/>
          <w:sz w:val="28"/>
          <w:szCs w:val="28"/>
        </w:rPr>
        <w:t xml:space="preserve">работы </w:t>
      </w:r>
      <w:r>
        <w:rPr>
          <w:rFonts w:ascii="Times New Roman" w:hAnsi="Times New Roman"/>
          <w:i/>
          <w:sz w:val="28"/>
          <w:szCs w:val="28"/>
        </w:rPr>
        <w:t xml:space="preserve">административных и </w:t>
      </w:r>
      <w:r w:rsidRPr="00883773">
        <w:rPr>
          <w:rFonts w:ascii="Times New Roman" w:hAnsi="Times New Roman"/>
          <w:i/>
          <w:sz w:val="28"/>
          <w:szCs w:val="28"/>
        </w:rPr>
        <w:t xml:space="preserve">инженерно-педагогических работников </w:t>
      </w:r>
      <w:r w:rsidRPr="006A4694">
        <w:rPr>
          <w:rFonts w:ascii="Times New Roman" w:hAnsi="Times New Roman"/>
          <w:i/>
          <w:sz w:val="28"/>
          <w:szCs w:val="28"/>
        </w:rPr>
        <w:t>по образованию</w:t>
      </w:r>
      <w:r w:rsidRPr="006A4694">
        <w:rPr>
          <w:rFonts w:ascii="Times New Roman" w:hAnsi="Times New Roman"/>
          <w:sz w:val="28"/>
          <w:szCs w:val="28"/>
        </w:rPr>
        <w:t>:</w:t>
      </w:r>
    </w:p>
    <w:p w:rsidR="00A61280" w:rsidRPr="003940DD" w:rsidRDefault="00A61280" w:rsidP="00A61280">
      <w:pPr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3940DD">
        <w:rPr>
          <w:rFonts w:ascii="Times New Roman" w:hAnsi="Times New Roman"/>
          <w:sz w:val="28"/>
          <w:szCs w:val="28"/>
        </w:rPr>
        <w:lastRenderedPageBreak/>
        <w:t>высшие</w:t>
      </w:r>
      <w:proofErr w:type="gramEnd"/>
      <w:r w:rsidRPr="003940DD">
        <w:rPr>
          <w:rFonts w:ascii="Times New Roman" w:hAnsi="Times New Roman"/>
          <w:sz w:val="28"/>
          <w:szCs w:val="28"/>
        </w:rPr>
        <w:t xml:space="preserve"> профессиональное образование – 1</w:t>
      </w:r>
      <w:r>
        <w:rPr>
          <w:rFonts w:ascii="Times New Roman" w:hAnsi="Times New Roman"/>
          <w:sz w:val="28"/>
          <w:szCs w:val="28"/>
        </w:rPr>
        <w:t>3</w:t>
      </w:r>
      <w:r w:rsidRPr="003940DD">
        <w:rPr>
          <w:rFonts w:ascii="Times New Roman" w:hAnsi="Times New Roman"/>
          <w:sz w:val="28"/>
          <w:szCs w:val="28"/>
        </w:rPr>
        <w:t xml:space="preserve"> человек  (</w:t>
      </w:r>
      <w:r>
        <w:rPr>
          <w:rFonts w:ascii="Times New Roman" w:hAnsi="Times New Roman"/>
          <w:sz w:val="28"/>
          <w:szCs w:val="28"/>
        </w:rPr>
        <w:t>6</w:t>
      </w:r>
      <w:r w:rsidRPr="003940D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,5</w:t>
      </w:r>
      <w:r w:rsidRPr="003940DD">
        <w:rPr>
          <w:rFonts w:ascii="Times New Roman" w:hAnsi="Times New Roman"/>
          <w:sz w:val="28"/>
          <w:szCs w:val="28"/>
        </w:rPr>
        <w:t xml:space="preserve"> %), </w:t>
      </w:r>
    </w:p>
    <w:p w:rsidR="00A61280" w:rsidRPr="003940DD" w:rsidRDefault="00A61280" w:rsidP="00A61280">
      <w:pPr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  <w:r w:rsidRPr="003940DD">
        <w:rPr>
          <w:rFonts w:ascii="Times New Roman" w:hAnsi="Times New Roman"/>
          <w:sz w:val="28"/>
          <w:szCs w:val="28"/>
        </w:rPr>
        <w:t xml:space="preserve">среднее профессиональное – </w:t>
      </w:r>
      <w:r>
        <w:rPr>
          <w:rFonts w:ascii="Times New Roman" w:hAnsi="Times New Roman"/>
          <w:sz w:val="28"/>
          <w:szCs w:val="28"/>
        </w:rPr>
        <w:t>2</w:t>
      </w:r>
      <w:r w:rsidRPr="003940DD">
        <w:rPr>
          <w:rFonts w:ascii="Times New Roman" w:hAnsi="Times New Roman"/>
          <w:sz w:val="28"/>
          <w:szCs w:val="28"/>
        </w:rPr>
        <w:t xml:space="preserve"> человека (</w:t>
      </w:r>
      <w:r>
        <w:rPr>
          <w:rFonts w:ascii="Times New Roman" w:hAnsi="Times New Roman"/>
          <w:sz w:val="28"/>
          <w:szCs w:val="28"/>
        </w:rPr>
        <w:t>10,5</w:t>
      </w:r>
      <w:r w:rsidRPr="003940DD">
        <w:rPr>
          <w:rFonts w:ascii="Times New Roman" w:hAnsi="Times New Roman"/>
          <w:sz w:val="28"/>
          <w:szCs w:val="28"/>
        </w:rPr>
        <w:t xml:space="preserve">%), </w:t>
      </w:r>
    </w:p>
    <w:p w:rsidR="00A61280" w:rsidRDefault="00A61280" w:rsidP="00A61280">
      <w:pPr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3940DD">
        <w:rPr>
          <w:rFonts w:ascii="Times New Roman" w:hAnsi="Times New Roman"/>
          <w:sz w:val="28"/>
          <w:szCs w:val="28"/>
        </w:rPr>
        <w:t>начальное</w:t>
      </w:r>
      <w:proofErr w:type="gramEnd"/>
      <w:r w:rsidRPr="003940DD">
        <w:rPr>
          <w:rFonts w:ascii="Times New Roman" w:hAnsi="Times New Roman"/>
          <w:sz w:val="28"/>
          <w:szCs w:val="28"/>
        </w:rPr>
        <w:t xml:space="preserve"> профессиональное – 4 человека (21%). </w:t>
      </w:r>
    </w:p>
    <w:p w:rsidR="00A61280" w:rsidRPr="003940DD" w:rsidRDefault="00A61280" w:rsidP="00A61280">
      <w:pPr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человека (мастера производственного обучения) обучаются в институте.</w:t>
      </w:r>
    </w:p>
    <w:p w:rsidR="00A61280" w:rsidRPr="003940DD" w:rsidRDefault="00A61280" w:rsidP="00A61280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940DD">
        <w:rPr>
          <w:sz w:val="28"/>
        </w:rPr>
        <w:t>Общее количество награждённых работников ГОУ НПО ТО «ПУ-2» – 23 чел</w:t>
      </w:r>
      <w:r w:rsidRPr="003940DD">
        <w:rPr>
          <w:sz w:val="28"/>
        </w:rPr>
        <w:t>о</w:t>
      </w:r>
      <w:r w:rsidRPr="003940DD">
        <w:rPr>
          <w:sz w:val="28"/>
        </w:rPr>
        <w:t>век (68%), 6 человек (16%) имеют удостоверение «Ветеран труда».</w:t>
      </w:r>
    </w:p>
    <w:p w:rsidR="00A61280" w:rsidRPr="003940DD" w:rsidRDefault="00A61280" w:rsidP="00A61280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940DD">
        <w:rPr>
          <w:sz w:val="28"/>
        </w:rPr>
        <w:t>Из 19 человек административно-педагогических работников</w:t>
      </w:r>
    </w:p>
    <w:p w:rsidR="00A61280" w:rsidRPr="003940DD" w:rsidRDefault="00A61280" w:rsidP="00A61280">
      <w:pPr>
        <w:pStyle w:val="a3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</w:rPr>
      </w:pPr>
      <w:r w:rsidRPr="003940DD">
        <w:rPr>
          <w:sz w:val="28"/>
        </w:rPr>
        <w:t>2 человека (1</w:t>
      </w:r>
      <w:r>
        <w:rPr>
          <w:sz w:val="28"/>
        </w:rPr>
        <w:t>0,5</w:t>
      </w:r>
      <w:r w:rsidRPr="003940DD">
        <w:rPr>
          <w:sz w:val="28"/>
        </w:rPr>
        <w:t>%) имеют звание «Почётный работник начального профе</w:t>
      </w:r>
      <w:r w:rsidRPr="003940DD">
        <w:rPr>
          <w:sz w:val="28"/>
        </w:rPr>
        <w:t>с</w:t>
      </w:r>
      <w:r w:rsidRPr="003940DD">
        <w:rPr>
          <w:sz w:val="28"/>
        </w:rPr>
        <w:t xml:space="preserve">сионального образования», </w:t>
      </w:r>
    </w:p>
    <w:p w:rsidR="00A61280" w:rsidRPr="003940DD" w:rsidRDefault="00A61280" w:rsidP="00A61280">
      <w:pPr>
        <w:pStyle w:val="a3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</w:rPr>
      </w:pPr>
      <w:r w:rsidRPr="003940DD">
        <w:rPr>
          <w:sz w:val="28"/>
        </w:rPr>
        <w:t>6 человек (3</w:t>
      </w:r>
      <w:r>
        <w:rPr>
          <w:sz w:val="28"/>
        </w:rPr>
        <w:t>1,5</w:t>
      </w:r>
      <w:r w:rsidRPr="003940DD">
        <w:rPr>
          <w:sz w:val="28"/>
        </w:rPr>
        <w:t xml:space="preserve">%) имеют Почётные грамоты Министерства образования и науки РФ, </w:t>
      </w:r>
    </w:p>
    <w:p w:rsidR="00A61280" w:rsidRPr="003940DD" w:rsidRDefault="00A61280" w:rsidP="00A61280">
      <w:pPr>
        <w:pStyle w:val="a3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32"/>
          <w:szCs w:val="28"/>
        </w:rPr>
      </w:pPr>
      <w:r w:rsidRPr="003940DD">
        <w:rPr>
          <w:sz w:val="28"/>
        </w:rPr>
        <w:t>1</w:t>
      </w:r>
      <w:r>
        <w:rPr>
          <w:sz w:val="28"/>
        </w:rPr>
        <w:t>5</w:t>
      </w:r>
      <w:r w:rsidRPr="003940DD">
        <w:rPr>
          <w:sz w:val="28"/>
        </w:rPr>
        <w:t xml:space="preserve"> человек (78</w:t>
      </w:r>
      <w:r>
        <w:rPr>
          <w:sz w:val="28"/>
        </w:rPr>
        <w:t>,9</w:t>
      </w:r>
      <w:r w:rsidRPr="003940DD">
        <w:rPr>
          <w:sz w:val="28"/>
        </w:rPr>
        <w:t>%) имеют Почётные грамоты и благодарности департамента образования Тульской области.</w:t>
      </w:r>
    </w:p>
    <w:p w:rsidR="00A61280" w:rsidRDefault="00A61280" w:rsidP="00A6128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 и инженерно-п</w:t>
      </w:r>
      <w:r w:rsidRPr="002513D5">
        <w:rPr>
          <w:color w:val="000000"/>
          <w:sz w:val="28"/>
        </w:rPr>
        <w:t>едагогические работ</w:t>
      </w:r>
      <w:r>
        <w:rPr>
          <w:color w:val="000000"/>
          <w:sz w:val="28"/>
        </w:rPr>
        <w:t xml:space="preserve">ники </w:t>
      </w:r>
      <w:proofErr w:type="gramStart"/>
      <w:r>
        <w:rPr>
          <w:color w:val="000000"/>
          <w:sz w:val="28"/>
        </w:rPr>
        <w:t>учённых</w:t>
      </w:r>
      <w:proofErr w:type="gramEnd"/>
      <w:r>
        <w:rPr>
          <w:color w:val="000000"/>
          <w:sz w:val="28"/>
        </w:rPr>
        <w:t xml:space="preserve"> ст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пеней не имеют.</w:t>
      </w:r>
    </w:p>
    <w:p w:rsidR="00A61280" w:rsidRPr="003940DD" w:rsidRDefault="00A61280" w:rsidP="00A61280">
      <w:pPr>
        <w:spacing w:after="0" w:line="240" w:lineRule="auto"/>
        <w:ind w:firstLine="539"/>
        <w:jc w:val="both"/>
        <w:outlineLvl w:val="2"/>
        <w:rPr>
          <w:rFonts w:ascii="Times New Roman" w:hAnsi="Times New Roman"/>
          <w:sz w:val="28"/>
          <w:szCs w:val="24"/>
        </w:rPr>
      </w:pPr>
      <w:r w:rsidRPr="003940DD">
        <w:rPr>
          <w:rFonts w:ascii="Times New Roman" w:hAnsi="Times New Roman"/>
          <w:sz w:val="28"/>
          <w:szCs w:val="24"/>
        </w:rPr>
        <w:t xml:space="preserve">В 2012 году </w:t>
      </w:r>
      <w:r>
        <w:rPr>
          <w:rFonts w:ascii="Times New Roman" w:hAnsi="Times New Roman"/>
          <w:sz w:val="28"/>
          <w:szCs w:val="24"/>
        </w:rPr>
        <w:t>прошли курсы повышения квалификации</w:t>
      </w:r>
      <w:r w:rsidRPr="003940DD">
        <w:rPr>
          <w:rFonts w:ascii="Times New Roman" w:hAnsi="Times New Roman"/>
          <w:sz w:val="28"/>
          <w:szCs w:val="24"/>
        </w:rPr>
        <w:t xml:space="preserve"> </w:t>
      </w:r>
      <w:r w:rsidRPr="003940DD">
        <w:rPr>
          <w:rFonts w:ascii="Times New Roman" w:hAnsi="Times New Roman"/>
          <w:sz w:val="28"/>
        </w:rPr>
        <w:t xml:space="preserve">на базе </w:t>
      </w:r>
      <w:r w:rsidRPr="003940DD">
        <w:rPr>
          <w:rFonts w:ascii="Times New Roman" w:hAnsi="Times New Roman"/>
          <w:sz w:val="28"/>
          <w:szCs w:val="24"/>
        </w:rPr>
        <w:t>ГОУ ДПО ТО «ИПК и ПП РО ТО» 6 человек (примерно 32 %).</w:t>
      </w:r>
    </w:p>
    <w:p w:rsidR="00A61280" w:rsidRPr="004D3637" w:rsidRDefault="00A61280" w:rsidP="00A61280">
      <w:pPr>
        <w:spacing w:after="0" w:line="240" w:lineRule="auto"/>
        <w:ind w:firstLine="53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4D3637">
        <w:rPr>
          <w:rFonts w:ascii="Times New Roman" w:hAnsi="Times New Roman"/>
          <w:color w:val="000000"/>
          <w:sz w:val="28"/>
          <w:szCs w:val="28"/>
        </w:rPr>
        <w:t>На базе ГОУ НПО ТО «ПУ-2» созданы и функционируют курсы обучения ко</w:t>
      </w:r>
      <w:r w:rsidRPr="004D3637">
        <w:rPr>
          <w:rFonts w:ascii="Times New Roman" w:hAnsi="Times New Roman"/>
          <w:color w:val="000000"/>
          <w:sz w:val="28"/>
          <w:szCs w:val="28"/>
        </w:rPr>
        <w:t>м</w:t>
      </w:r>
      <w:r w:rsidRPr="004D3637">
        <w:rPr>
          <w:rFonts w:ascii="Times New Roman" w:hAnsi="Times New Roman"/>
          <w:color w:val="000000"/>
          <w:sz w:val="28"/>
          <w:szCs w:val="28"/>
        </w:rPr>
        <w:t>пьютерной грамотности для сотрудников образовательного учреждения.</w:t>
      </w:r>
    </w:p>
    <w:p w:rsidR="00A61280" w:rsidRDefault="00A61280" w:rsidP="00A6128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</w:rPr>
        <w:t>К</w:t>
      </w:r>
      <w:r w:rsidRPr="001B3A8D">
        <w:rPr>
          <w:rFonts w:ascii="Times New Roman" w:hAnsi="Times New Roman"/>
          <w:i/>
          <w:color w:val="000000"/>
          <w:sz w:val="28"/>
          <w:szCs w:val="24"/>
        </w:rPr>
        <w:t xml:space="preserve">валификационные категории </w:t>
      </w:r>
    </w:p>
    <w:p w:rsidR="00A61280" w:rsidRDefault="00A61280" w:rsidP="00A612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</w:rPr>
        <w:t xml:space="preserve">административных работников </w:t>
      </w:r>
      <w:r>
        <w:rPr>
          <w:rFonts w:ascii="Times New Roman" w:hAnsi="Times New Roman"/>
          <w:color w:val="000000"/>
          <w:sz w:val="28"/>
          <w:szCs w:val="24"/>
        </w:rPr>
        <w:t>в 2012 году</w:t>
      </w:r>
    </w:p>
    <w:p w:rsidR="00A61280" w:rsidRPr="005C37E4" w:rsidRDefault="00A61280" w:rsidP="00A612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drawing>
          <wp:inline distT="0" distB="0" distL="0" distR="0">
            <wp:extent cx="5257800" cy="2486025"/>
            <wp:effectExtent l="0" t="0" r="0" b="0"/>
            <wp:docPr id="7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1280" w:rsidRDefault="00A61280" w:rsidP="00A61280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8"/>
          <w:szCs w:val="24"/>
        </w:rPr>
      </w:pPr>
      <w:r w:rsidRPr="001B3A8D">
        <w:rPr>
          <w:rFonts w:ascii="Times New Roman" w:hAnsi="Times New Roman"/>
          <w:i/>
          <w:color w:val="000000"/>
          <w:sz w:val="28"/>
          <w:szCs w:val="24"/>
        </w:rPr>
        <w:t>инженерно-педагогических кадров</w:t>
      </w:r>
    </w:p>
    <w:p w:rsidR="00A61280" w:rsidRDefault="00A61280" w:rsidP="00A61280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686425" cy="4076700"/>
            <wp:effectExtent l="0" t="0" r="0" b="0"/>
            <wp:docPr id="6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1280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A61280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A61280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A61280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A61280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A61280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A61280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A61280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A61280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A61280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A61280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A61280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A61280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A61280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A61280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A61280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A61280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 w:rsidRPr="00A155AF">
        <w:rPr>
          <w:rFonts w:ascii="Monotype Corsiva" w:hAnsi="Monotype Corsiva"/>
          <w:b/>
          <w:sz w:val="44"/>
          <w:szCs w:val="44"/>
        </w:rPr>
        <w:lastRenderedPageBreak/>
        <w:t xml:space="preserve">Финансовое обеспечение функционирования и развития </w:t>
      </w:r>
    </w:p>
    <w:p w:rsidR="00A61280" w:rsidRPr="00A155AF" w:rsidRDefault="00A61280" w:rsidP="00A6128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 w:rsidRPr="00A155AF">
        <w:rPr>
          <w:rFonts w:ascii="Monotype Corsiva" w:hAnsi="Monotype Corsiva"/>
          <w:b/>
          <w:sz w:val="44"/>
          <w:szCs w:val="44"/>
        </w:rPr>
        <w:t>ГОУ НПО ТО «ПУ-2»</w:t>
      </w:r>
    </w:p>
    <w:p w:rsidR="00A61280" w:rsidRDefault="00A61280" w:rsidP="00A61280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В ГОУ НПО ТО «ПУ-2» основными статьями расходов бюджетных сре</w:t>
      </w:r>
      <w:proofErr w:type="gramStart"/>
      <w:r>
        <w:rPr>
          <w:sz w:val="28"/>
        </w:rPr>
        <w:t>дств в</w:t>
      </w:r>
      <w:r w:rsidRPr="00026636">
        <w:rPr>
          <w:sz w:val="28"/>
        </w:rPr>
        <w:t xml:space="preserve"> с</w:t>
      </w:r>
      <w:proofErr w:type="gramEnd"/>
      <w:r w:rsidRPr="00026636">
        <w:rPr>
          <w:sz w:val="28"/>
        </w:rPr>
        <w:t xml:space="preserve">оответствии со ст.70 Бюджетного кодекса РФ </w:t>
      </w:r>
      <w:r>
        <w:rPr>
          <w:sz w:val="28"/>
        </w:rPr>
        <w:t>являются, заложенными в смету являю</w:t>
      </w:r>
      <w:r>
        <w:rPr>
          <w:sz w:val="28"/>
        </w:rPr>
        <w:t>т</w:t>
      </w:r>
      <w:r>
        <w:rPr>
          <w:sz w:val="28"/>
        </w:rPr>
        <w:t>ся:</w:t>
      </w:r>
    </w:p>
    <w:p w:rsidR="00A61280" w:rsidRDefault="00A61280" w:rsidP="00A6128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заработная плата;</w:t>
      </w:r>
    </w:p>
    <w:p w:rsidR="00A61280" w:rsidRDefault="00A61280" w:rsidP="00A6128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прочие выплаты: методическая литература, региональная надбавка,</w:t>
      </w:r>
      <w:r w:rsidRPr="00E37E47">
        <w:rPr>
          <w:sz w:val="28"/>
        </w:rPr>
        <w:t xml:space="preserve"> </w:t>
      </w:r>
      <w:r>
        <w:rPr>
          <w:sz w:val="28"/>
        </w:rPr>
        <w:t>оплата командировок сотрудников;</w:t>
      </w:r>
    </w:p>
    <w:p w:rsidR="00A61280" w:rsidRDefault="00A61280" w:rsidP="00A6128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начисления на выплаты по оплате труда: налоги, социальное, медицинское страхование, перечисления в пенсионный фонд;</w:t>
      </w:r>
    </w:p>
    <w:p w:rsidR="00A61280" w:rsidRDefault="00A61280" w:rsidP="00A6128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 xml:space="preserve">услуги связи: </w:t>
      </w:r>
      <w:r w:rsidRPr="00BC5C34">
        <w:rPr>
          <w:sz w:val="28"/>
          <w:szCs w:val="28"/>
        </w:rPr>
        <w:t>абонентск</w:t>
      </w:r>
      <w:r>
        <w:rPr>
          <w:sz w:val="28"/>
          <w:szCs w:val="28"/>
        </w:rPr>
        <w:t>ая</w:t>
      </w:r>
      <w:r w:rsidRPr="00BC5C34">
        <w:rPr>
          <w:sz w:val="28"/>
          <w:szCs w:val="28"/>
        </w:rPr>
        <w:t xml:space="preserve"> плат</w:t>
      </w:r>
      <w:r>
        <w:rPr>
          <w:sz w:val="28"/>
          <w:szCs w:val="28"/>
        </w:rPr>
        <w:t>а</w:t>
      </w:r>
      <w:r w:rsidRPr="00BC5C34">
        <w:rPr>
          <w:sz w:val="28"/>
          <w:szCs w:val="28"/>
        </w:rPr>
        <w:t xml:space="preserve"> телефона, за пользование Интернетом</w:t>
      </w:r>
      <w:r>
        <w:rPr>
          <w:sz w:val="28"/>
          <w:szCs w:val="28"/>
        </w:rPr>
        <w:t>,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товые отправления</w:t>
      </w:r>
      <w:r>
        <w:rPr>
          <w:sz w:val="28"/>
        </w:rPr>
        <w:t>;</w:t>
      </w:r>
    </w:p>
    <w:p w:rsidR="00A61280" w:rsidRDefault="00A61280" w:rsidP="00A6128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транспортные услуги:</w:t>
      </w:r>
      <w:r w:rsidRPr="00E37E47">
        <w:rPr>
          <w:sz w:val="28"/>
          <w:szCs w:val="28"/>
        </w:rPr>
        <w:t xml:space="preserve"> </w:t>
      </w:r>
      <w:r w:rsidRPr="00BC5C34">
        <w:rPr>
          <w:sz w:val="28"/>
          <w:szCs w:val="28"/>
        </w:rPr>
        <w:t>стоимость проезда до пункта командировки</w:t>
      </w:r>
      <w:r>
        <w:rPr>
          <w:sz w:val="28"/>
        </w:rPr>
        <w:t>;</w:t>
      </w:r>
    </w:p>
    <w:p w:rsidR="00A61280" w:rsidRDefault="00A61280" w:rsidP="00A6128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коммунальные услуги: отопление, свет, вода;</w:t>
      </w:r>
    </w:p>
    <w:p w:rsidR="00A61280" w:rsidRDefault="00A61280" w:rsidP="00A6128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 xml:space="preserve">работы, услуги по содержанию имущества: капитальный и текущий ремонт здания, ремонт коммунальных сетей, </w:t>
      </w:r>
      <w:r w:rsidRPr="00BC5C34">
        <w:rPr>
          <w:sz w:val="28"/>
          <w:szCs w:val="28"/>
        </w:rPr>
        <w:t>расчет стоимости техобслуживания одного а</w:t>
      </w:r>
      <w:r w:rsidRPr="00BC5C34">
        <w:rPr>
          <w:sz w:val="28"/>
          <w:szCs w:val="28"/>
        </w:rPr>
        <w:t>в</w:t>
      </w:r>
      <w:r w:rsidRPr="00BC5C34">
        <w:rPr>
          <w:sz w:val="28"/>
          <w:szCs w:val="28"/>
        </w:rPr>
        <w:t>томобиля</w:t>
      </w:r>
      <w:r>
        <w:rPr>
          <w:sz w:val="28"/>
          <w:szCs w:val="28"/>
        </w:rPr>
        <w:t xml:space="preserve">, </w:t>
      </w:r>
      <w:r w:rsidRPr="00BC5C34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BC5C34">
        <w:rPr>
          <w:sz w:val="28"/>
          <w:szCs w:val="28"/>
        </w:rPr>
        <w:t xml:space="preserve"> на профилактику и заправку оргтехники</w:t>
      </w:r>
      <w:r>
        <w:rPr>
          <w:sz w:val="28"/>
          <w:szCs w:val="28"/>
        </w:rPr>
        <w:t xml:space="preserve">, </w:t>
      </w:r>
      <w:r w:rsidRPr="00BC5C34">
        <w:rPr>
          <w:sz w:val="28"/>
          <w:szCs w:val="28"/>
        </w:rPr>
        <w:t>дератизацию, дези</w:t>
      </w:r>
      <w:r w:rsidRPr="00BC5C34">
        <w:rPr>
          <w:sz w:val="28"/>
          <w:szCs w:val="28"/>
        </w:rPr>
        <w:t>н</w:t>
      </w:r>
      <w:r w:rsidRPr="00BC5C34">
        <w:rPr>
          <w:sz w:val="28"/>
          <w:szCs w:val="28"/>
        </w:rPr>
        <w:t>секцию и т.п.</w:t>
      </w:r>
      <w:r>
        <w:rPr>
          <w:sz w:val="28"/>
        </w:rPr>
        <w:t>;</w:t>
      </w:r>
    </w:p>
    <w:p w:rsidR="00A61280" w:rsidRDefault="00A61280" w:rsidP="00A6128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прочие работы, услуги: вневедомственная охрана, пожарная сигнализация, обслуживание оргтехники, подписка на периодическую печать;</w:t>
      </w:r>
    </w:p>
    <w:p w:rsidR="00A61280" w:rsidRDefault="00A61280" w:rsidP="00A6128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 xml:space="preserve"> пособия по социальной помощи населению: социальные выплаты с</w:t>
      </w:r>
      <w:r>
        <w:rPr>
          <w:sz w:val="28"/>
        </w:rPr>
        <w:t>и</w:t>
      </w:r>
      <w:r>
        <w:rPr>
          <w:sz w:val="28"/>
        </w:rPr>
        <w:t>ротам;</w:t>
      </w:r>
    </w:p>
    <w:p w:rsidR="00A61280" w:rsidRDefault="00A61280" w:rsidP="00A6128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прочие расходы: налоги, стипендия учащимся, лечебные пособия сотрудн</w:t>
      </w:r>
      <w:r>
        <w:rPr>
          <w:sz w:val="28"/>
        </w:rPr>
        <w:t>и</w:t>
      </w:r>
      <w:r>
        <w:rPr>
          <w:sz w:val="28"/>
        </w:rPr>
        <w:t>кам, материальная помощь;</w:t>
      </w:r>
    </w:p>
    <w:p w:rsidR="00A61280" w:rsidRDefault="00A61280" w:rsidP="00A61280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увеличение стоимости материальных запасов: приобретение материалов для обучения учащихся, питание учащихся, бензин, хозяйственные и канцелярские т</w:t>
      </w:r>
      <w:r>
        <w:rPr>
          <w:sz w:val="28"/>
        </w:rPr>
        <w:t>о</w:t>
      </w:r>
      <w:r>
        <w:rPr>
          <w:sz w:val="28"/>
        </w:rPr>
        <w:t>вары, медикаменты; приобретение оборудования для обучения учащихся.</w:t>
      </w:r>
    </w:p>
    <w:p w:rsidR="00A61280" w:rsidRDefault="00A61280" w:rsidP="00A6128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Основными расходами является заработная плата и пособия по социальной помощи, очень маленький процент выделяется на работы, услуги по содержанию имущества и приобретение оборудования и материалов для ведения образовател</w:t>
      </w:r>
      <w:r>
        <w:rPr>
          <w:sz w:val="28"/>
        </w:rPr>
        <w:t>ь</w:t>
      </w:r>
      <w:r>
        <w:rPr>
          <w:sz w:val="28"/>
        </w:rPr>
        <w:t xml:space="preserve">ного процесса. </w:t>
      </w:r>
    </w:p>
    <w:p w:rsidR="00A61280" w:rsidRDefault="00A61280" w:rsidP="00A6128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Сравнивая средства по основным статьям, наблюдается изменение процентн</w:t>
      </w:r>
      <w:r>
        <w:rPr>
          <w:sz w:val="28"/>
        </w:rPr>
        <w:t>о</w:t>
      </w:r>
      <w:r>
        <w:rPr>
          <w:sz w:val="28"/>
        </w:rPr>
        <w:t>го соотношения, т.е. на некоторые статьи стало выделяться больше средств, а не некот</w:t>
      </w:r>
      <w:r>
        <w:rPr>
          <w:sz w:val="28"/>
        </w:rPr>
        <w:t>о</w:t>
      </w:r>
      <w:r>
        <w:rPr>
          <w:sz w:val="28"/>
        </w:rPr>
        <w:t xml:space="preserve">рые меньше. </w:t>
      </w:r>
    </w:p>
    <w:p w:rsidR="00A61280" w:rsidRPr="00ED7898" w:rsidRDefault="00A61280" w:rsidP="00A61280">
      <w:pPr>
        <w:pStyle w:val="a3"/>
        <w:spacing w:before="0" w:beforeAutospacing="0" w:after="0" w:afterAutospacing="0"/>
        <w:ind w:firstLine="567"/>
        <w:jc w:val="center"/>
        <w:rPr>
          <w:i/>
          <w:sz w:val="28"/>
        </w:rPr>
      </w:pPr>
      <w:r w:rsidRPr="00ED7898">
        <w:rPr>
          <w:i/>
          <w:sz w:val="28"/>
        </w:rPr>
        <w:t>Доходы и расходы бюджета в ГОУ НПО ТО «ПУ-2»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594"/>
        <w:gridCol w:w="1595"/>
        <w:gridCol w:w="1595"/>
        <w:gridCol w:w="1595"/>
        <w:gridCol w:w="1134"/>
        <w:gridCol w:w="1134"/>
      </w:tblGrid>
      <w:tr w:rsidR="00A61280" w:rsidRPr="00ED7898" w:rsidTr="00A40D6A">
        <w:tc>
          <w:tcPr>
            <w:tcW w:w="1418" w:type="dxa"/>
            <w:vMerge w:val="restart"/>
            <w:vAlign w:val="center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ED7898">
              <w:rPr>
                <w:i/>
                <w:sz w:val="28"/>
              </w:rPr>
              <w:t>Наимен</w:t>
            </w:r>
            <w:r w:rsidRPr="00ED7898">
              <w:rPr>
                <w:i/>
                <w:sz w:val="28"/>
              </w:rPr>
              <w:t>о</w:t>
            </w:r>
            <w:r w:rsidRPr="00ED7898">
              <w:rPr>
                <w:i/>
                <w:sz w:val="28"/>
              </w:rPr>
              <w:t>вание</w:t>
            </w:r>
          </w:p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ED7898">
              <w:rPr>
                <w:i/>
                <w:sz w:val="28"/>
              </w:rPr>
              <w:t>показ</w:t>
            </w:r>
            <w:r w:rsidRPr="00ED7898">
              <w:rPr>
                <w:i/>
                <w:sz w:val="28"/>
              </w:rPr>
              <w:t>а</w:t>
            </w:r>
            <w:r w:rsidRPr="00ED7898">
              <w:rPr>
                <w:i/>
                <w:sz w:val="28"/>
              </w:rPr>
              <w:t>теля</w:t>
            </w:r>
          </w:p>
        </w:tc>
        <w:tc>
          <w:tcPr>
            <w:tcW w:w="3189" w:type="dxa"/>
            <w:gridSpan w:val="2"/>
            <w:vAlign w:val="center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ED7898">
              <w:rPr>
                <w:i/>
                <w:sz w:val="28"/>
              </w:rPr>
              <w:t xml:space="preserve">Бюджетные </w:t>
            </w:r>
          </w:p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ED7898">
              <w:rPr>
                <w:i/>
                <w:sz w:val="28"/>
              </w:rPr>
              <w:t>ассигнования</w:t>
            </w:r>
          </w:p>
        </w:tc>
        <w:tc>
          <w:tcPr>
            <w:tcW w:w="3190" w:type="dxa"/>
            <w:gridSpan w:val="2"/>
            <w:vAlign w:val="center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ED7898">
              <w:rPr>
                <w:i/>
                <w:sz w:val="28"/>
              </w:rPr>
              <w:t>Исполнено</w:t>
            </w:r>
          </w:p>
        </w:tc>
        <w:tc>
          <w:tcPr>
            <w:tcW w:w="2268" w:type="dxa"/>
            <w:gridSpan w:val="2"/>
            <w:vAlign w:val="center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ED7898">
              <w:rPr>
                <w:i/>
                <w:sz w:val="28"/>
              </w:rPr>
              <w:t>% исполн</w:t>
            </w:r>
            <w:r w:rsidRPr="00ED7898">
              <w:rPr>
                <w:i/>
                <w:sz w:val="28"/>
              </w:rPr>
              <w:t>е</w:t>
            </w:r>
            <w:r w:rsidRPr="00ED7898">
              <w:rPr>
                <w:i/>
                <w:sz w:val="28"/>
              </w:rPr>
              <w:t>ния</w:t>
            </w:r>
          </w:p>
        </w:tc>
      </w:tr>
      <w:tr w:rsidR="00A61280" w:rsidRPr="00ED7898" w:rsidTr="00A40D6A">
        <w:tc>
          <w:tcPr>
            <w:tcW w:w="1418" w:type="dxa"/>
            <w:vMerge/>
            <w:vAlign w:val="center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</w:p>
        </w:tc>
        <w:tc>
          <w:tcPr>
            <w:tcW w:w="1594" w:type="dxa"/>
            <w:vAlign w:val="center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ED7898">
              <w:rPr>
                <w:i/>
                <w:sz w:val="28"/>
              </w:rPr>
              <w:t>2010 год</w:t>
            </w:r>
          </w:p>
        </w:tc>
        <w:tc>
          <w:tcPr>
            <w:tcW w:w="1595" w:type="dxa"/>
            <w:vAlign w:val="center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ED7898">
              <w:rPr>
                <w:i/>
                <w:sz w:val="28"/>
              </w:rPr>
              <w:t>2011 год</w:t>
            </w:r>
          </w:p>
        </w:tc>
        <w:tc>
          <w:tcPr>
            <w:tcW w:w="1595" w:type="dxa"/>
            <w:vAlign w:val="center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ED7898">
              <w:rPr>
                <w:i/>
                <w:sz w:val="28"/>
              </w:rPr>
              <w:t>2010 год</w:t>
            </w:r>
          </w:p>
        </w:tc>
        <w:tc>
          <w:tcPr>
            <w:tcW w:w="1595" w:type="dxa"/>
            <w:vAlign w:val="center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ED7898">
              <w:rPr>
                <w:i/>
                <w:sz w:val="28"/>
              </w:rPr>
              <w:t>2011 год</w:t>
            </w:r>
          </w:p>
        </w:tc>
        <w:tc>
          <w:tcPr>
            <w:tcW w:w="1134" w:type="dxa"/>
            <w:vAlign w:val="center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ED7898">
              <w:rPr>
                <w:i/>
                <w:sz w:val="28"/>
              </w:rPr>
              <w:t>2010 год</w:t>
            </w:r>
          </w:p>
        </w:tc>
        <w:tc>
          <w:tcPr>
            <w:tcW w:w="1134" w:type="dxa"/>
            <w:vAlign w:val="center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ED7898">
              <w:rPr>
                <w:i/>
                <w:sz w:val="28"/>
              </w:rPr>
              <w:t>2011 год</w:t>
            </w:r>
          </w:p>
        </w:tc>
      </w:tr>
      <w:tr w:rsidR="00A61280" w:rsidRPr="00ED7898" w:rsidTr="00A40D6A">
        <w:tc>
          <w:tcPr>
            <w:tcW w:w="1418" w:type="dxa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ED7898">
              <w:rPr>
                <w:sz w:val="28"/>
              </w:rPr>
              <w:t xml:space="preserve">Расходы бюджета – всего </w:t>
            </w:r>
          </w:p>
        </w:tc>
        <w:tc>
          <w:tcPr>
            <w:tcW w:w="1594" w:type="dxa"/>
            <w:vAlign w:val="center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D7898">
              <w:rPr>
                <w:sz w:val="26"/>
                <w:szCs w:val="26"/>
              </w:rPr>
              <w:t>13006800.00</w:t>
            </w:r>
          </w:p>
        </w:tc>
        <w:tc>
          <w:tcPr>
            <w:tcW w:w="1595" w:type="dxa"/>
            <w:vAlign w:val="center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D7898">
              <w:rPr>
                <w:sz w:val="26"/>
                <w:szCs w:val="26"/>
              </w:rPr>
              <w:t>14784100.00</w:t>
            </w:r>
          </w:p>
        </w:tc>
        <w:tc>
          <w:tcPr>
            <w:tcW w:w="1595" w:type="dxa"/>
            <w:vAlign w:val="center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D7898">
              <w:rPr>
                <w:sz w:val="26"/>
                <w:szCs w:val="26"/>
              </w:rPr>
              <w:t>12868561.66</w:t>
            </w:r>
          </w:p>
        </w:tc>
        <w:tc>
          <w:tcPr>
            <w:tcW w:w="1595" w:type="dxa"/>
            <w:vAlign w:val="center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D7898">
              <w:rPr>
                <w:sz w:val="26"/>
                <w:szCs w:val="26"/>
              </w:rPr>
              <w:t>14631503.75</w:t>
            </w:r>
          </w:p>
        </w:tc>
        <w:tc>
          <w:tcPr>
            <w:tcW w:w="1134" w:type="dxa"/>
            <w:vAlign w:val="center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D7898">
              <w:rPr>
                <w:sz w:val="26"/>
                <w:szCs w:val="26"/>
              </w:rPr>
              <w:t>99 %</w:t>
            </w:r>
          </w:p>
        </w:tc>
        <w:tc>
          <w:tcPr>
            <w:tcW w:w="1134" w:type="dxa"/>
            <w:vAlign w:val="center"/>
          </w:tcPr>
          <w:p w:rsidR="00A61280" w:rsidRPr="00ED7898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D7898">
              <w:rPr>
                <w:sz w:val="26"/>
                <w:szCs w:val="26"/>
              </w:rPr>
              <w:t>99%</w:t>
            </w:r>
          </w:p>
        </w:tc>
      </w:tr>
    </w:tbl>
    <w:p w:rsidR="00A61280" w:rsidRDefault="00A61280" w:rsidP="00A61280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A61280" w:rsidRPr="00B80A07" w:rsidRDefault="00A61280" w:rsidP="00A61280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32"/>
          <w:szCs w:val="28"/>
        </w:rPr>
      </w:pPr>
      <w:r w:rsidRPr="00B80A07">
        <w:rPr>
          <w:rFonts w:ascii="Times New Roman" w:hAnsi="Times New Roman"/>
          <w:sz w:val="28"/>
          <w:szCs w:val="24"/>
        </w:rPr>
        <w:t>Факты нецелевого использования средств областного бюджета отсутствуют.</w:t>
      </w:r>
      <w:r>
        <w:rPr>
          <w:rFonts w:ascii="Times New Roman" w:hAnsi="Times New Roman"/>
          <w:sz w:val="28"/>
          <w:szCs w:val="24"/>
        </w:rPr>
        <w:t xml:space="preserve"> </w:t>
      </w:r>
      <w:r w:rsidRPr="00B80A07">
        <w:rPr>
          <w:rFonts w:ascii="Times New Roman" w:hAnsi="Times New Roman"/>
          <w:sz w:val="28"/>
          <w:szCs w:val="24"/>
        </w:rPr>
        <w:t>Освоение лимитов бюджетных обязательств рационально, перерасходов и задолженн</w:t>
      </w:r>
      <w:r w:rsidRPr="00B80A07">
        <w:rPr>
          <w:rFonts w:ascii="Times New Roman" w:hAnsi="Times New Roman"/>
          <w:sz w:val="28"/>
          <w:szCs w:val="24"/>
        </w:rPr>
        <w:t>о</w:t>
      </w:r>
      <w:r w:rsidRPr="00B80A07">
        <w:rPr>
          <w:rFonts w:ascii="Times New Roman" w:hAnsi="Times New Roman"/>
          <w:sz w:val="28"/>
          <w:szCs w:val="24"/>
        </w:rPr>
        <w:t>стей нет.</w:t>
      </w:r>
      <w:r w:rsidRPr="00B80A07">
        <w:rPr>
          <w:sz w:val="24"/>
          <w:szCs w:val="24"/>
        </w:rPr>
        <w:t xml:space="preserve"> </w:t>
      </w:r>
    </w:p>
    <w:p w:rsidR="00A61280" w:rsidRDefault="00A61280" w:rsidP="00A61280">
      <w:pPr>
        <w:pStyle w:val="a3"/>
        <w:tabs>
          <w:tab w:val="left" w:pos="993"/>
        </w:tabs>
        <w:spacing w:before="0" w:beforeAutospacing="0" w:after="0" w:afterAutospacing="0"/>
        <w:ind w:firstLine="567"/>
        <w:jc w:val="center"/>
        <w:rPr>
          <w:i/>
          <w:sz w:val="28"/>
        </w:rPr>
      </w:pPr>
    </w:p>
    <w:p w:rsidR="00A61280" w:rsidRDefault="00A61280" w:rsidP="00A61280">
      <w:pPr>
        <w:pStyle w:val="a3"/>
        <w:tabs>
          <w:tab w:val="left" w:pos="993"/>
        </w:tabs>
        <w:spacing w:before="0" w:beforeAutospacing="0" w:after="0" w:afterAutospacing="0"/>
        <w:ind w:firstLine="567"/>
        <w:jc w:val="center"/>
        <w:rPr>
          <w:i/>
          <w:sz w:val="28"/>
        </w:rPr>
      </w:pPr>
    </w:p>
    <w:p w:rsidR="00A61280" w:rsidRPr="00F2037A" w:rsidRDefault="00A61280" w:rsidP="00A61280">
      <w:pPr>
        <w:pStyle w:val="a3"/>
        <w:tabs>
          <w:tab w:val="left" w:pos="993"/>
        </w:tabs>
        <w:spacing w:before="0" w:beforeAutospacing="0" w:after="0" w:afterAutospacing="0"/>
        <w:ind w:firstLine="567"/>
        <w:jc w:val="center"/>
        <w:rPr>
          <w:i/>
          <w:sz w:val="28"/>
        </w:rPr>
      </w:pPr>
      <w:r w:rsidRPr="00F2037A">
        <w:rPr>
          <w:i/>
          <w:sz w:val="28"/>
        </w:rPr>
        <w:t>Расходование бюджетных ассигнований в 2012 году</w:t>
      </w:r>
    </w:p>
    <w:p w:rsidR="00A61280" w:rsidRDefault="00A61280" w:rsidP="00A61280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sz w:val="28"/>
        </w:rPr>
      </w:pPr>
      <w:r>
        <w:rPr>
          <w:noProof/>
          <w:color w:val="00B050"/>
          <w:sz w:val="28"/>
        </w:rPr>
        <w:drawing>
          <wp:inline distT="0" distB="0" distL="0" distR="0">
            <wp:extent cx="5991225" cy="345757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1280" w:rsidRPr="00493022" w:rsidRDefault="00A61280" w:rsidP="00A612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3022">
        <w:rPr>
          <w:rFonts w:ascii="Times New Roman" w:hAnsi="Times New Roman"/>
          <w:sz w:val="28"/>
          <w:szCs w:val="28"/>
        </w:rPr>
        <w:t>Учитывая, что федеральные нормативы финансирования образовательных у</w:t>
      </w:r>
      <w:r w:rsidRPr="00493022">
        <w:rPr>
          <w:rFonts w:ascii="Times New Roman" w:hAnsi="Times New Roman"/>
          <w:sz w:val="28"/>
          <w:szCs w:val="28"/>
        </w:rPr>
        <w:t>ч</w:t>
      </w:r>
      <w:r w:rsidRPr="00493022">
        <w:rPr>
          <w:rFonts w:ascii="Times New Roman" w:hAnsi="Times New Roman"/>
          <w:sz w:val="28"/>
          <w:szCs w:val="28"/>
        </w:rPr>
        <w:t>реждений, устанавливаемые федеральным законом, являются минимально допуст</w:t>
      </w:r>
      <w:r w:rsidRPr="00493022">
        <w:rPr>
          <w:rFonts w:ascii="Times New Roman" w:hAnsi="Times New Roman"/>
          <w:sz w:val="28"/>
          <w:szCs w:val="28"/>
        </w:rPr>
        <w:t>и</w:t>
      </w:r>
      <w:r w:rsidRPr="00493022">
        <w:rPr>
          <w:rFonts w:ascii="Times New Roman" w:hAnsi="Times New Roman"/>
          <w:sz w:val="28"/>
          <w:szCs w:val="28"/>
        </w:rPr>
        <w:t xml:space="preserve">мыми, </w:t>
      </w:r>
      <w:r>
        <w:rPr>
          <w:rFonts w:ascii="Times New Roman" w:hAnsi="Times New Roman"/>
          <w:sz w:val="28"/>
          <w:szCs w:val="28"/>
        </w:rPr>
        <w:t>ГОУ НПО ТО «ПУ-2»</w:t>
      </w:r>
      <w:r w:rsidRPr="00493022">
        <w:rPr>
          <w:rFonts w:ascii="Times New Roman" w:hAnsi="Times New Roman"/>
          <w:sz w:val="28"/>
          <w:szCs w:val="28"/>
        </w:rPr>
        <w:t>, применяющие современные технологии образов</w:t>
      </w:r>
      <w:r w:rsidRPr="00493022">
        <w:rPr>
          <w:rFonts w:ascii="Times New Roman" w:hAnsi="Times New Roman"/>
          <w:sz w:val="28"/>
          <w:szCs w:val="28"/>
        </w:rPr>
        <w:t>а</w:t>
      </w:r>
      <w:r w:rsidRPr="00493022">
        <w:rPr>
          <w:rFonts w:ascii="Times New Roman" w:hAnsi="Times New Roman"/>
          <w:sz w:val="28"/>
          <w:szCs w:val="28"/>
        </w:rPr>
        <w:t>тельных программ вынуждены искать дополнительные источники ф</w:t>
      </w:r>
      <w:r w:rsidRPr="00493022">
        <w:rPr>
          <w:rFonts w:ascii="Times New Roman" w:hAnsi="Times New Roman"/>
          <w:sz w:val="28"/>
          <w:szCs w:val="28"/>
        </w:rPr>
        <w:t>и</w:t>
      </w:r>
      <w:r w:rsidRPr="00493022">
        <w:rPr>
          <w:rFonts w:ascii="Times New Roman" w:hAnsi="Times New Roman"/>
          <w:sz w:val="28"/>
          <w:szCs w:val="28"/>
        </w:rPr>
        <w:t xml:space="preserve">нансирования. </w:t>
      </w:r>
    </w:p>
    <w:p w:rsidR="00A61280" w:rsidRPr="00707B5B" w:rsidRDefault="00A61280" w:rsidP="00A612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51CFD">
        <w:rPr>
          <w:rStyle w:val="a4"/>
          <w:rFonts w:ascii="Times New Roman" w:hAnsi="Times New Roman"/>
          <w:b w:val="0"/>
          <w:iCs/>
          <w:sz w:val="28"/>
        </w:rPr>
        <w:t>В соответствии со ст. 41 Закона РФ "Об образовании" образовательное учре</w:t>
      </w:r>
      <w:r w:rsidRPr="00551CFD">
        <w:rPr>
          <w:rStyle w:val="a4"/>
          <w:rFonts w:ascii="Times New Roman" w:hAnsi="Times New Roman"/>
          <w:b w:val="0"/>
          <w:iCs/>
          <w:sz w:val="28"/>
        </w:rPr>
        <w:t>ж</w:t>
      </w:r>
      <w:r w:rsidRPr="00551CFD">
        <w:rPr>
          <w:rStyle w:val="a4"/>
          <w:rFonts w:ascii="Times New Roman" w:hAnsi="Times New Roman"/>
          <w:b w:val="0"/>
          <w:iCs/>
          <w:sz w:val="28"/>
        </w:rPr>
        <w:t>дение, независимо от его организационно-правовой формы, вправе привлекать д</w:t>
      </w:r>
      <w:r w:rsidRPr="00551CFD">
        <w:rPr>
          <w:rStyle w:val="a4"/>
          <w:rFonts w:ascii="Times New Roman" w:hAnsi="Times New Roman"/>
          <w:b w:val="0"/>
          <w:iCs/>
          <w:sz w:val="28"/>
        </w:rPr>
        <w:t>о</w:t>
      </w:r>
      <w:r w:rsidRPr="00551CFD">
        <w:rPr>
          <w:rStyle w:val="a4"/>
          <w:rFonts w:ascii="Times New Roman" w:hAnsi="Times New Roman"/>
          <w:b w:val="0"/>
          <w:iCs/>
          <w:sz w:val="28"/>
        </w:rPr>
        <w:t>полнительные финансовые, средства за счет предоставления платных дополнител</w:t>
      </w:r>
      <w:r w:rsidRPr="00551CFD">
        <w:rPr>
          <w:rStyle w:val="a4"/>
          <w:rFonts w:ascii="Times New Roman" w:hAnsi="Times New Roman"/>
          <w:b w:val="0"/>
          <w:iCs/>
          <w:sz w:val="28"/>
        </w:rPr>
        <w:t>ь</w:t>
      </w:r>
      <w:r w:rsidRPr="00551CFD">
        <w:rPr>
          <w:rStyle w:val="a4"/>
          <w:rFonts w:ascii="Times New Roman" w:hAnsi="Times New Roman"/>
          <w:b w:val="0"/>
          <w:iCs/>
          <w:sz w:val="28"/>
        </w:rPr>
        <w:t>ных образовательных и иных предусмотренных его уставом услуг, добровол</w:t>
      </w:r>
      <w:r w:rsidRPr="00551CFD">
        <w:rPr>
          <w:rStyle w:val="a4"/>
          <w:rFonts w:ascii="Times New Roman" w:hAnsi="Times New Roman"/>
          <w:b w:val="0"/>
          <w:iCs/>
          <w:sz w:val="28"/>
        </w:rPr>
        <w:t>ь</w:t>
      </w:r>
      <w:r w:rsidRPr="00551CFD">
        <w:rPr>
          <w:rStyle w:val="a4"/>
          <w:rFonts w:ascii="Times New Roman" w:hAnsi="Times New Roman"/>
          <w:b w:val="0"/>
          <w:iCs/>
          <w:sz w:val="28"/>
        </w:rPr>
        <w:t xml:space="preserve">ных пожертвований и целевых взносов физических и (или) юридических лиц, а также за счет ведения предусмотренной уставом </w:t>
      </w:r>
      <w:r w:rsidRPr="00707B5B">
        <w:rPr>
          <w:rStyle w:val="a4"/>
          <w:rFonts w:ascii="Times New Roman" w:hAnsi="Times New Roman"/>
          <w:b w:val="0"/>
          <w:iCs/>
          <w:sz w:val="28"/>
          <w:szCs w:val="28"/>
        </w:rPr>
        <w:t>предпринимательской деятельн</w:t>
      </w:r>
      <w:r w:rsidRPr="00707B5B">
        <w:rPr>
          <w:rStyle w:val="a4"/>
          <w:rFonts w:ascii="Times New Roman" w:hAnsi="Times New Roman"/>
          <w:b w:val="0"/>
          <w:iCs/>
          <w:sz w:val="28"/>
          <w:szCs w:val="28"/>
        </w:rPr>
        <w:t>о</w:t>
      </w:r>
      <w:r w:rsidRPr="00707B5B">
        <w:rPr>
          <w:rStyle w:val="a4"/>
          <w:rFonts w:ascii="Times New Roman" w:hAnsi="Times New Roman"/>
          <w:b w:val="0"/>
          <w:iCs/>
          <w:sz w:val="28"/>
          <w:szCs w:val="28"/>
        </w:rPr>
        <w:t>сти.</w:t>
      </w:r>
      <w:proofErr w:type="gramEnd"/>
    </w:p>
    <w:p w:rsidR="00A61280" w:rsidRDefault="00A61280" w:rsidP="00A612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ником внебюджетных средств ГОУ НПО ТО «ПУ-2» является сотрудничество с ГУ ТО ЦЗН г. Алексин по обучению безработных граждан и опережающему обучению граждан в случае 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розы увольнения.</w:t>
      </w:r>
    </w:p>
    <w:p w:rsidR="00A61280" w:rsidRDefault="00A61280" w:rsidP="00A61280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4"/>
        </w:rPr>
      </w:pPr>
      <w:r w:rsidRPr="00707B5B">
        <w:rPr>
          <w:rFonts w:ascii="Times New Roman" w:hAnsi="Times New Roman"/>
          <w:sz w:val="28"/>
          <w:szCs w:val="28"/>
        </w:rPr>
        <w:t>На основании п. 6 ст. 161 "Бюджетное учреждение" БК РФ бюджетное учреждение при исполнении сметы доходов и ра</w:t>
      </w:r>
      <w:r w:rsidRPr="00707B5B">
        <w:rPr>
          <w:rFonts w:ascii="Times New Roman" w:hAnsi="Times New Roman"/>
          <w:sz w:val="28"/>
          <w:szCs w:val="28"/>
        </w:rPr>
        <w:t>с</w:t>
      </w:r>
      <w:r w:rsidRPr="00707B5B">
        <w:rPr>
          <w:rFonts w:ascii="Times New Roman" w:hAnsi="Times New Roman"/>
          <w:sz w:val="28"/>
          <w:szCs w:val="28"/>
        </w:rPr>
        <w:t>ходов самостоятельно в расходовании средств, полученных за счет внебюджет</w:t>
      </w:r>
      <w:r>
        <w:rPr>
          <w:rFonts w:ascii="Times New Roman" w:hAnsi="Times New Roman"/>
          <w:sz w:val="28"/>
          <w:szCs w:val="28"/>
        </w:rPr>
        <w:t>ных источников</w:t>
      </w:r>
    </w:p>
    <w:p w:rsidR="00A61280" w:rsidRPr="003C7B32" w:rsidRDefault="00A61280" w:rsidP="00A61280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4"/>
        </w:rPr>
      </w:pPr>
      <w:r w:rsidRPr="003C7B32">
        <w:rPr>
          <w:rFonts w:ascii="Times New Roman" w:hAnsi="Times New Roman"/>
          <w:sz w:val="28"/>
          <w:szCs w:val="24"/>
        </w:rPr>
        <w:t>Объем внебю</w:t>
      </w:r>
      <w:r w:rsidRPr="003C7B32">
        <w:rPr>
          <w:rFonts w:ascii="Times New Roman" w:hAnsi="Times New Roman"/>
          <w:sz w:val="28"/>
          <w:szCs w:val="24"/>
        </w:rPr>
        <w:t>д</w:t>
      </w:r>
      <w:r w:rsidRPr="003C7B32">
        <w:rPr>
          <w:rFonts w:ascii="Times New Roman" w:hAnsi="Times New Roman"/>
          <w:sz w:val="28"/>
          <w:szCs w:val="24"/>
        </w:rPr>
        <w:t>жетных средств, используемых на развитие материально-технической базы ГОУ НПО ТО ПУ-2» 953,3 тыс. руб.</w:t>
      </w:r>
    </w:p>
    <w:p w:rsidR="00A61280" w:rsidRPr="003C7B32" w:rsidRDefault="00A61280" w:rsidP="00A61280">
      <w:pPr>
        <w:pStyle w:val="a3"/>
        <w:spacing w:before="0" w:beforeAutospacing="0" w:after="0" w:afterAutospacing="0"/>
        <w:jc w:val="center"/>
        <w:rPr>
          <w:i/>
          <w:sz w:val="28"/>
        </w:rPr>
      </w:pPr>
      <w:r w:rsidRPr="003C7B32">
        <w:rPr>
          <w:i/>
          <w:sz w:val="28"/>
        </w:rPr>
        <w:t>Доходы и расходы от внебюджетной деятельности в ГОУ НПО ТО «ПУ-2»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59"/>
        <w:gridCol w:w="1559"/>
        <w:gridCol w:w="1559"/>
        <w:gridCol w:w="1560"/>
        <w:gridCol w:w="1134"/>
        <w:gridCol w:w="1134"/>
      </w:tblGrid>
      <w:tr w:rsidR="00A61280" w:rsidRPr="003C7B32" w:rsidTr="00A40D6A">
        <w:tc>
          <w:tcPr>
            <w:tcW w:w="1560" w:type="dxa"/>
            <w:vMerge w:val="restart"/>
            <w:vAlign w:val="center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3C7B32">
              <w:rPr>
                <w:i/>
                <w:sz w:val="28"/>
              </w:rPr>
              <w:lastRenderedPageBreak/>
              <w:t>Наимен</w:t>
            </w:r>
            <w:r w:rsidRPr="003C7B32">
              <w:rPr>
                <w:i/>
                <w:sz w:val="28"/>
              </w:rPr>
              <w:t>о</w:t>
            </w:r>
            <w:r w:rsidRPr="003C7B32">
              <w:rPr>
                <w:i/>
                <w:sz w:val="28"/>
              </w:rPr>
              <w:t>вание</w:t>
            </w:r>
          </w:p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3C7B32">
              <w:rPr>
                <w:i/>
                <w:sz w:val="28"/>
              </w:rPr>
              <w:t>показат</w:t>
            </w:r>
            <w:r w:rsidRPr="003C7B32">
              <w:rPr>
                <w:i/>
                <w:sz w:val="28"/>
              </w:rPr>
              <w:t>е</w:t>
            </w:r>
            <w:r w:rsidRPr="003C7B32">
              <w:rPr>
                <w:i/>
                <w:sz w:val="28"/>
              </w:rPr>
              <w:t>ля</w:t>
            </w:r>
          </w:p>
        </w:tc>
        <w:tc>
          <w:tcPr>
            <w:tcW w:w="3118" w:type="dxa"/>
            <w:gridSpan w:val="2"/>
            <w:vAlign w:val="center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3C7B32">
              <w:rPr>
                <w:i/>
                <w:sz w:val="28"/>
              </w:rPr>
              <w:t>Утверждённые сме</w:t>
            </w:r>
            <w:r w:rsidRPr="003C7B32">
              <w:rPr>
                <w:i/>
                <w:sz w:val="28"/>
              </w:rPr>
              <w:t>т</w:t>
            </w:r>
            <w:r w:rsidRPr="003C7B32">
              <w:rPr>
                <w:i/>
                <w:sz w:val="28"/>
              </w:rPr>
              <w:t>ные назначения</w:t>
            </w:r>
          </w:p>
        </w:tc>
        <w:tc>
          <w:tcPr>
            <w:tcW w:w="3119" w:type="dxa"/>
            <w:gridSpan w:val="2"/>
            <w:vAlign w:val="center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3C7B32">
              <w:rPr>
                <w:i/>
                <w:sz w:val="28"/>
              </w:rPr>
              <w:t>Исполнено</w:t>
            </w:r>
          </w:p>
        </w:tc>
        <w:tc>
          <w:tcPr>
            <w:tcW w:w="2268" w:type="dxa"/>
            <w:gridSpan w:val="2"/>
            <w:vAlign w:val="center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3C7B32">
              <w:rPr>
                <w:i/>
                <w:sz w:val="28"/>
              </w:rPr>
              <w:t>% исполнения</w:t>
            </w:r>
          </w:p>
        </w:tc>
      </w:tr>
      <w:tr w:rsidR="00A61280" w:rsidRPr="003C7B32" w:rsidTr="00A40D6A">
        <w:tc>
          <w:tcPr>
            <w:tcW w:w="1560" w:type="dxa"/>
            <w:vMerge/>
            <w:vAlign w:val="center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3C7B32">
              <w:rPr>
                <w:i/>
                <w:sz w:val="28"/>
              </w:rPr>
              <w:t>2010 год</w:t>
            </w:r>
          </w:p>
        </w:tc>
        <w:tc>
          <w:tcPr>
            <w:tcW w:w="1559" w:type="dxa"/>
            <w:vAlign w:val="center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3C7B32">
              <w:rPr>
                <w:i/>
                <w:sz w:val="28"/>
              </w:rPr>
              <w:t>2011 год</w:t>
            </w:r>
          </w:p>
        </w:tc>
        <w:tc>
          <w:tcPr>
            <w:tcW w:w="1559" w:type="dxa"/>
            <w:vAlign w:val="center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3C7B32">
              <w:rPr>
                <w:i/>
                <w:sz w:val="28"/>
              </w:rPr>
              <w:t>2010 год</w:t>
            </w:r>
          </w:p>
        </w:tc>
        <w:tc>
          <w:tcPr>
            <w:tcW w:w="1560" w:type="dxa"/>
            <w:vAlign w:val="center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3C7B32">
              <w:rPr>
                <w:i/>
                <w:sz w:val="28"/>
              </w:rPr>
              <w:t>2011 год</w:t>
            </w:r>
          </w:p>
        </w:tc>
        <w:tc>
          <w:tcPr>
            <w:tcW w:w="1134" w:type="dxa"/>
            <w:vAlign w:val="center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3C7B32">
              <w:rPr>
                <w:i/>
                <w:sz w:val="28"/>
              </w:rPr>
              <w:t>2010 год</w:t>
            </w:r>
          </w:p>
        </w:tc>
        <w:tc>
          <w:tcPr>
            <w:tcW w:w="1134" w:type="dxa"/>
            <w:vAlign w:val="center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3C7B32">
              <w:rPr>
                <w:i/>
                <w:sz w:val="28"/>
              </w:rPr>
              <w:t>2011 год</w:t>
            </w:r>
          </w:p>
        </w:tc>
      </w:tr>
      <w:tr w:rsidR="00A61280" w:rsidRPr="003C7B32" w:rsidTr="00A40D6A">
        <w:tc>
          <w:tcPr>
            <w:tcW w:w="1560" w:type="dxa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3C7B32">
              <w:rPr>
                <w:sz w:val="28"/>
              </w:rPr>
              <w:t xml:space="preserve">Расходы бюджета – всего </w:t>
            </w:r>
          </w:p>
        </w:tc>
        <w:tc>
          <w:tcPr>
            <w:tcW w:w="1559" w:type="dxa"/>
            <w:vAlign w:val="center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3C7B32">
              <w:rPr>
                <w:sz w:val="28"/>
              </w:rPr>
              <w:t>1303200.00</w:t>
            </w:r>
          </w:p>
        </w:tc>
        <w:tc>
          <w:tcPr>
            <w:tcW w:w="1559" w:type="dxa"/>
            <w:vAlign w:val="center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3C7B32">
              <w:rPr>
                <w:sz w:val="28"/>
              </w:rPr>
              <w:t>953300.00</w:t>
            </w:r>
          </w:p>
        </w:tc>
        <w:tc>
          <w:tcPr>
            <w:tcW w:w="1559" w:type="dxa"/>
            <w:vAlign w:val="center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3C7B32">
              <w:rPr>
                <w:sz w:val="28"/>
              </w:rPr>
              <w:t>1302231.08</w:t>
            </w:r>
          </w:p>
        </w:tc>
        <w:tc>
          <w:tcPr>
            <w:tcW w:w="1560" w:type="dxa"/>
            <w:vAlign w:val="center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3C7B32">
              <w:rPr>
                <w:sz w:val="28"/>
              </w:rPr>
              <w:t>953300.00</w:t>
            </w:r>
          </w:p>
        </w:tc>
        <w:tc>
          <w:tcPr>
            <w:tcW w:w="1134" w:type="dxa"/>
            <w:vAlign w:val="center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3C7B32">
              <w:rPr>
                <w:sz w:val="28"/>
              </w:rPr>
              <w:t>99,9%</w:t>
            </w:r>
          </w:p>
        </w:tc>
        <w:tc>
          <w:tcPr>
            <w:tcW w:w="1134" w:type="dxa"/>
            <w:vAlign w:val="center"/>
          </w:tcPr>
          <w:p w:rsidR="00A61280" w:rsidRPr="003C7B32" w:rsidRDefault="00A61280" w:rsidP="00A40D6A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3C7B32">
              <w:rPr>
                <w:sz w:val="28"/>
              </w:rPr>
              <w:t>100%</w:t>
            </w:r>
          </w:p>
        </w:tc>
      </w:tr>
    </w:tbl>
    <w:p w:rsidR="00A61280" w:rsidRPr="00327542" w:rsidRDefault="00A61280" w:rsidP="00A61280">
      <w:pPr>
        <w:pStyle w:val="a3"/>
        <w:spacing w:before="0" w:beforeAutospacing="0" w:after="0" w:afterAutospacing="0"/>
        <w:ind w:firstLine="567"/>
        <w:jc w:val="both"/>
        <w:rPr>
          <w:sz w:val="16"/>
        </w:rPr>
      </w:pPr>
    </w:p>
    <w:p w:rsidR="00A61280" w:rsidRDefault="00A61280" w:rsidP="00A61280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E07CFC">
        <w:rPr>
          <w:sz w:val="28"/>
        </w:rPr>
        <w:t>Так как износ здания составил 28 %, а лимитов бю</w:t>
      </w:r>
      <w:r w:rsidRPr="00E07CFC">
        <w:rPr>
          <w:sz w:val="28"/>
        </w:rPr>
        <w:t>д</w:t>
      </w:r>
      <w:r w:rsidRPr="00E07CFC">
        <w:rPr>
          <w:sz w:val="28"/>
        </w:rPr>
        <w:t>жетных обязательств по статье «Работы, услуги по с</w:t>
      </w:r>
      <w:r w:rsidRPr="00E07CFC">
        <w:rPr>
          <w:sz w:val="28"/>
        </w:rPr>
        <w:t>о</w:t>
      </w:r>
      <w:r w:rsidRPr="00E07CFC">
        <w:rPr>
          <w:sz w:val="28"/>
        </w:rPr>
        <w:t>держанию имущества» выделяется мало, то привлечение внебюджетных</w:t>
      </w:r>
      <w:r>
        <w:rPr>
          <w:sz w:val="28"/>
        </w:rPr>
        <w:t xml:space="preserve"> средств играет бол</w:t>
      </w:r>
      <w:r>
        <w:rPr>
          <w:sz w:val="28"/>
        </w:rPr>
        <w:t>ь</w:t>
      </w:r>
      <w:r>
        <w:rPr>
          <w:sz w:val="28"/>
        </w:rPr>
        <w:t xml:space="preserve">шую роль. </w:t>
      </w:r>
    </w:p>
    <w:p w:rsidR="00A61280" w:rsidRDefault="00A61280" w:rsidP="00A61280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214630</wp:posOffset>
            </wp:positionV>
            <wp:extent cx="1927860" cy="1828165"/>
            <wp:effectExtent l="19050" t="0" r="0" b="0"/>
            <wp:wrapTight wrapText="bothSides">
              <wp:wrapPolygon edited="0">
                <wp:start x="-213" y="0"/>
                <wp:lineTo x="-213" y="21382"/>
                <wp:lineTo x="21557" y="21382"/>
                <wp:lineTo x="21557" y="0"/>
                <wp:lineTo x="-213" y="0"/>
              </wp:wrapPolygon>
            </wp:wrapTight>
            <wp:docPr id="2" name="Рисунок 1" descr="D:\фотоархив ПУ-2\Фотографии\фото-архив\2010-2011 учебный год\коллажи\collage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фотоархив ПУ-2\Фотографии\фото-архив\2010-2011 учебный год\коллажи\collage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304" t="66275" r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За 2011-2012 учебном году совместными усилиями сотрудников училища и волонтёров из числа уч</w:t>
      </w:r>
      <w:r>
        <w:rPr>
          <w:sz w:val="28"/>
        </w:rPr>
        <w:t>а</w:t>
      </w:r>
      <w:r>
        <w:rPr>
          <w:sz w:val="28"/>
        </w:rPr>
        <w:t>щихся</w:t>
      </w:r>
      <w:proofErr w:type="gramEnd"/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28"/>
          <w:szCs w:val="24"/>
        </w:rPr>
      </w:pPr>
      <w:r w:rsidRPr="001B16C7">
        <w:rPr>
          <w:rFonts w:ascii="Times New Roman" w:hAnsi="Times New Roman"/>
          <w:sz w:val="28"/>
          <w:szCs w:val="24"/>
        </w:rPr>
        <w:t>отремонтирован кабинет зам</w:t>
      </w:r>
      <w:proofErr w:type="gramStart"/>
      <w:r w:rsidRPr="001B16C7">
        <w:rPr>
          <w:rFonts w:ascii="Times New Roman" w:hAnsi="Times New Roman"/>
          <w:sz w:val="28"/>
          <w:szCs w:val="24"/>
        </w:rPr>
        <w:t>.д</w:t>
      </w:r>
      <w:proofErr w:type="gramEnd"/>
      <w:r w:rsidRPr="001B16C7">
        <w:rPr>
          <w:rFonts w:ascii="Times New Roman" w:hAnsi="Times New Roman"/>
          <w:sz w:val="28"/>
          <w:szCs w:val="24"/>
        </w:rPr>
        <w:t>иректора по УВР;</w:t>
      </w:r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28"/>
          <w:szCs w:val="24"/>
        </w:rPr>
      </w:pPr>
      <w:r w:rsidRPr="001B16C7">
        <w:rPr>
          <w:rFonts w:ascii="Times New Roman" w:hAnsi="Times New Roman"/>
          <w:sz w:val="28"/>
          <w:szCs w:val="24"/>
        </w:rPr>
        <w:t xml:space="preserve">отремонтирован  учебные кабинеты по </w:t>
      </w:r>
      <w:proofErr w:type="spellStart"/>
      <w:r w:rsidRPr="001B16C7">
        <w:rPr>
          <w:rFonts w:ascii="Times New Roman" w:hAnsi="Times New Roman"/>
          <w:sz w:val="28"/>
          <w:szCs w:val="24"/>
        </w:rPr>
        <w:t>спецпредметам</w:t>
      </w:r>
      <w:proofErr w:type="spellEnd"/>
      <w:r w:rsidRPr="001B16C7">
        <w:rPr>
          <w:rFonts w:ascii="Times New Roman" w:hAnsi="Times New Roman"/>
          <w:sz w:val="28"/>
          <w:szCs w:val="24"/>
        </w:rPr>
        <w:t xml:space="preserve"> по профессии «стано</w:t>
      </w:r>
      <w:r w:rsidRPr="001B16C7">
        <w:rPr>
          <w:rFonts w:ascii="Times New Roman" w:hAnsi="Times New Roman"/>
          <w:sz w:val="28"/>
          <w:szCs w:val="24"/>
        </w:rPr>
        <w:t>ч</w:t>
      </w:r>
      <w:r w:rsidRPr="001B16C7">
        <w:rPr>
          <w:rFonts w:ascii="Times New Roman" w:hAnsi="Times New Roman"/>
          <w:sz w:val="28"/>
          <w:szCs w:val="24"/>
        </w:rPr>
        <w:t>ник»;</w:t>
      </w:r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28"/>
          <w:szCs w:val="24"/>
        </w:rPr>
      </w:pPr>
      <w:r w:rsidRPr="001B16C7">
        <w:rPr>
          <w:rFonts w:ascii="Times New Roman" w:hAnsi="Times New Roman"/>
          <w:sz w:val="28"/>
          <w:szCs w:val="24"/>
        </w:rPr>
        <w:t>отремонтирована шиномонтажная ма</w:t>
      </w:r>
      <w:r w:rsidRPr="001B16C7">
        <w:rPr>
          <w:rFonts w:ascii="Times New Roman" w:hAnsi="Times New Roman"/>
          <w:sz w:val="28"/>
          <w:szCs w:val="24"/>
        </w:rPr>
        <w:t>с</w:t>
      </w:r>
      <w:r w:rsidRPr="001B16C7">
        <w:rPr>
          <w:rFonts w:ascii="Times New Roman" w:hAnsi="Times New Roman"/>
          <w:sz w:val="28"/>
          <w:szCs w:val="24"/>
        </w:rPr>
        <w:t>терская;</w:t>
      </w:r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62865</wp:posOffset>
            </wp:positionV>
            <wp:extent cx="1701800" cy="2245995"/>
            <wp:effectExtent l="19050" t="0" r="0" b="0"/>
            <wp:wrapTight wrapText="bothSides">
              <wp:wrapPolygon edited="0">
                <wp:start x="-242" y="0"/>
                <wp:lineTo x="-242" y="21435"/>
                <wp:lineTo x="21519" y="21435"/>
                <wp:lineTo x="21519" y="0"/>
                <wp:lineTo x="-242" y="0"/>
              </wp:wrapPolygon>
            </wp:wrapTight>
            <wp:docPr id="5" name="Рисунок 5" descr="ДО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Б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885" t="13792" b="5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16C7">
        <w:rPr>
          <w:rFonts w:ascii="Times New Roman" w:hAnsi="Times New Roman"/>
          <w:sz w:val="28"/>
          <w:szCs w:val="24"/>
        </w:rPr>
        <w:t>произведена покраска эвакуационных путей в стол</w:t>
      </w:r>
      <w:r w:rsidRPr="001B16C7">
        <w:rPr>
          <w:rFonts w:ascii="Times New Roman" w:hAnsi="Times New Roman"/>
          <w:sz w:val="28"/>
          <w:szCs w:val="24"/>
        </w:rPr>
        <w:t>о</w:t>
      </w:r>
      <w:r w:rsidRPr="001B16C7">
        <w:rPr>
          <w:rFonts w:ascii="Times New Roman" w:hAnsi="Times New Roman"/>
          <w:sz w:val="28"/>
          <w:szCs w:val="24"/>
        </w:rPr>
        <w:t>вой;</w:t>
      </w:r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1B16C7">
        <w:rPr>
          <w:rFonts w:ascii="Times New Roman" w:hAnsi="Times New Roman"/>
          <w:sz w:val="28"/>
          <w:szCs w:val="24"/>
        </w:rPr>
        <w:t>отремонтированы и окрашены оконные рамы (около 60%), двери (около 90 %),</w:t>
      </w:r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63500</wp:posOffset>
            </wp:positionV>
            <wp:extent cx="2034540" cy="1803400"/>
            <wp:effectExtent l="19050" t="0" r="3810" b="0"/>
            <wp:wrapTight wrapText="bothSides">
              <wp:wrapPolygon edited="0">
                <wp:start x="-202" y="0"/>
                <wp:lineTo x="-202" y="21448"/>
                <wp:lineTo x="21640" y="21448"/>
                <wp:lineTo x="21640" y="0"/>
                <wp:lineTo x="-202" y="0"/>
              </wp:wrapPolygon>
            </wp:wrapTight>
            <wp:docPr id="3" name="Рисунок 3" descr="DSCF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F31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916" t="7240" r="31920" b="25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16C7">
        <w:rPr>
          <w:rFonts w:ascii="Times New Roman" w:hAnsi="Times New Roman"/>
          <w:sz w:val="28"/>
          <w:szCs w:val="24"/>
        </w:rPr>
        <w:t>частично произведена зам</w:t>
      </w:r>
      <w:r w:rsidRPr="001B16C7">
        <w:rPr>
          <w:rFonts w:ascii="Times New Roman" w:hAnsi="Times New Roman"/>
          <w:sz w:val="28"/>
          <w:szCs w:val="24"/>
        </w:rPr>
        <w:t>е</w:t>
      </w:r>
      <w:r w:rsidRPr="001B16C7">
        <w:rPr>
          <w:rFonts w:ascii="Times New Roman" w:hAnsi="Times New Roman"/>
          <w:sz w:val="28"/>
          <w:szCs w:val="24"/>
        </w:rPr>
        <w:t xml:space="preserve">на линолеума в </w:t>
      </w:r>
      <w:proofErr w:type="gramStart"/>
      <w:r w:rsidRPr="001B16C7">
        <w:rPr>
          <w:rFonts w:ascii="Times New Roman" w:hAnsi="Times New Roman"/>
          <w:sz w:val="28"/>
          <w:szCs w:val="24"/>
        </w:rPr>
        <w:t>учебных</w:t>
      </w:r>
      <w:proofErr w:type="gramEnd"/>
      <w:r w:rsidRPr="001B16C7">
        <w:rPr>
          <w:rFonts w:ascii="Times New Roman" w:hAnsi="Times New Roman"/>
          <w:sz w:val="28"/>
          <w:szCs w:val="24"/>
        </w:rPr>
        <w:t>;</w:t>
      </w:r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1B16C7">
        <w:rPr>
          <w:rFonts w:ascii="Times New Roman" w:hAnsi="Times New Roman"/>
          <w:sz w:val="28"/>
          <w:szCs w:val="24"/>
        </w:rPr>
        <w:t>произведена замена линол</w:t>
      </w:r>
      <w:r w:rsidRPr="001B16C7">
        <w:rPr>
          <w:rFonts w:ascii="Times New Roman" w:hAnsi="Times New Roman"/>
          <w:sz w:val="28"/>
          <w:szCs w:val="24"/>
        </w:rPr>
        <w:t>е</w:t>
      </w:r>
      <w:r w:rsidRPr="001B16C7">
        <w:rPr>
          <w:rFonts w:ascii="Times New Roman" w:hAnsi="Times New Roman"/>
          <w:sz w:val="28"/>
          <w:szCs w:val="24"/>
        </w:rPr>
        <w:t xml:space="preserve">ума на </w:t>
      </w:r>
      <w:proofErr w:type="gramStart"/>
      <w:r w:rsidRPr="001B16C7">
        <w:rPr>
          <w:rFonts w:ascii="Times New Roman" w:hAnsi="Times New Roman"/>
          <w:sz w:val="28"/>
          <w:szCs w:val="24"/>
        </w:rPr>
        <w:t>огнеупорный</w:t>
      </w:r>
      <w:proofErr w:type="gramEnd"/>
      <w:r w:rsidRPr="001B16C7">
        <w:rPr>
          <w:rFonts w:ascii="Times New Roman" w:hAnsi="Times New Roman"/>
          <w:sz w:val="28"/>
          <w:szCs w:val="24"/>
        </w:rPr>
        <w:t xml:space="preserve"> в коридорах учебного ко</w:t>
      </w:r>
      <w:r w:rsidRPr="001B16C7">
        <w:rPr>
          <w:rFonts w:ascii="Times New Roman" w:hAnsi="Times New Roman"/>
          <w:sz w:val="28"/>
          <w:szCs w:val="24"/>
        </w:rPr>
        <w:t>р</w:t>
      </w:r>
      <w:r w:rsidRPr="001B16C7">
        <w:rPr>
          <w:rFonts w:ascii="Times New Roman" w:hAnsi="Times New Roman"/>
          <w:sz w:val="28"/>
          <w:szCs w:val="24"/>
        </w:rPr>
        <w:t>пуса;</w:t>
      </w:r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1B16C7">
        <w:rPr>
          <w:rFonts w:ascii="Times New Roman" w:hAnsi="Times New Roman"/>
          <w:sz w:val="28"/>
          <w:szCs w:val="24"/>
        </w:rPr>
        <w:t>произведён частичный ремонт кро</w:t>
      </w:r>
      <w:r w:rsidRPr="001B16C7">
        <w:rPr>
          <w:rFonts w:ascii="Times New Roman" w:hAnsi="Times New Roman"/>
          <w:sz w:val="28"/>
          <w:szCs w:val="24"/>
        </w:rPr>
        <w:t>в</w:t>
      </w:r>
      <w:r w:rsidRPr="001B16C7">
        <w:rPr>
          <w:rFonts w:ascii="Times New Roman" w:hAnsi="Times New Roman"/>
          <w:sz w:val="28"/>
          <w:szCs w:val="24"/>
        </w:rPr>
        <w:t>ли здания,</w:t>
      </w:r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1B16C7">
        <w:rPr>
          <w:rFonts w:ascii="Times New Roman" w:hAnsi="Times New Roman"/>
          <w:sz w:val="28"/>
          <w:szCs w:val="24"/>
        </w:rPr>
        <w:t>произведён частичный ремонт отопительной системы и водопров</w:t>
      </w:r>
      <w:r w:rsidRPr="001B16C7">
        <w:rPr>
          <w:rFonts w:ascii="Times New Roman" w:hAnsi="Times New Roman"/>
          <w:sz w:val="28"/>
          <w:szCs w:val="24"/>
        </w:rPr>
        <w:t>о</w:t>
      </w:r>
      <w:r w:rsidRPr="001B16C7">
        <w:rPr>
          <w:rFonts w:ascii="Times New Roman" w:hAnsi="Times New Roman"/>
          <w:sz w:val="28"/>
          <w:szCs w:val="24"/>
        </w:rPr>
        <w:t>да;</w:t>
      </w:r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134620</wp:posOffset>
            </wp:positionV>
            <wp:extent cx="1744345" cy="2325370"/>
            <wp:effectExtent l="19050" t="0" r="8255" b="0"/>
            <wp:wrapTight wrapText="bothSides">
              <wp:wrapPolygon edited="0">
                <wp:start x="-236" y="0"/>
                <wp:lineTo x="-236" y="21411"/>
                <wp:lineTo x="21702" y="21411"/>
                <wp:lineTo x="21702" y="0"/>
                <wp:lineTo x="-236" y="0"/>
              </wp:wrapPolygon>
            </wp:wrapTight>
            <wp:docPr id="4" name="Рисунок 4" descr="DSCF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F316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232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16C7">
        <w:rPr>
          <w:rFonts w:ascii="Times New Roman" w:hAnsi="Times New Roman"/>
          <w:sz w:val="28"/>
          <w:szCs w:val="24"/>
        </w:rPr>
        <w:t>произведена замена осветител</w:t>
      </w:r>
      <w:r w:rsidRPr="001B16C7">
        <w:rPr>
          <w:rFonts w:ascii="Times New Roman" w:hAnsi="Times New Roman"/>
          <w:sz w:val="28"/>
          <w:szCs w:val="24"/>
        </w:rPr>
        <w:t>ь</w:t>
      </w:r>
      <w:r w:rsidRPr="001B16C7">
        <w:rPr>
          <w:rFonts w:ascii="Times New Roman" w:hAnsi="Times New Roman"/>
          <w:sz w:val="28"/>
          <w:szCs w:val="24"/>
        </w:rPr>
        <w:t>ных приборов;</w:t>
      </w:r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32"/>
          <w:szCs w:val="28"/>
        </w:rPr>
      </w:pPr>
      <w:r w:rsidRPr="001B16C7">
        <w:rPr>
          <w:rFonts w:ascii="Times New Roman" w:hAnsi="Times New Roman"/>
          <w:sz w:val="28"/>
          <w:szCs w:val="24"/>
        </w:rPr>
        <w:t>произведена установка металл</w:t>
      </w:r>
      <w:r w:rsidRPr="001B16C7">
        <w:rPr>
          <w:rFonts w:ascii="Times New Roman" w:hAnsi="Times New Roman"/>
          <w:sz w:val="28"/>
          <w:szCs w:val="24"/>
        </w:rPr>
        <w:t>и</w:t>
      </w:r>
      <w:r w:rsidRPr="001B16C7">
        <w:rPr>
          <w:rFonts w:ascii="Times New Roman" w:hAnsi="Times New Roman"/>
          <w:sz w:val="28"/>
          <w:szCs w:val="24"/>
        </w:rPr>
        <w:t>ческих дверей;</w:t>
      </w:r>
      <w:r w:rsidRPr="001B16C7">
        <w:rPr>
          <w:rStyle w:val="a"/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32"/>
          <w:szCs w:val="28"/>
        </w:rPr>
      </w:pPr>
      <w:r w:rsidRPr="001B16C7">
        <w:rPr>
          <w:rFonts w:ascii="Times New Roman" w:hAnsi="Times New Roman"/>
          <w:sz w:val="28"/>
          <w:szCs w:val="24"/>
        </w:rPr>
        <w:t>произведен ремонт ограждения по периметру учил</w:t>
      </w:r>
      <w:r w:rsidRPr="001B16C7">
        <w:rPr>
          <w:rFonts w:ascii="Times New Roman" w:hAnsi="Times New Roman"/>
          <w:sz w:val="28"/>
          <w:szCs w:val="24"/>
        </w:rPr>
        <w:t>и</w:t>
      </w:r>
      <w:r w:rsidRPr="001B16C7">
        <w:rPr>
          <w:rFonts w:ascii="Times New Roman" w:hAnsi="Times New Roman"/>
          <w:sz w:val="28"/>
          <w:szCs w:val="24"/>
        </w:rPr>
        <w:t>ща;</w:t>
      </w:r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28"/>
          <w:szCs w:val="24"/>
        </w:rPr>
      </w:pPr>
      <w:r w:rsidRPr="001B16C7">
        <w:rPr>
          <w:rFonts w:ascii="Times New Roman" w:hAnsi="Times New Roman"/>
          <w:sz w:val="28"/>
          <w:szCs w:val="24"/>
        </w:rPr>
        <w:t>территория была  озеленена соснами, елками, рябинами и цветами (оформл</w:t>
      </w:r>
      <w:r w:rsidRPr="001B16C7">
        <w:rPr>
          <w:rFonts w:ascii="Times New Roman" w:hAnsi="Times New Roman"/>
          <w:sz w:val="28"/>
          <w:szCs w:val="24"/>
        </w:rPr>
        <w:t>е</w:t>
      </w:r>
      <w:r w:rsidRPr="001B16C7">
        <w:rPr>
          <w:rFonts w:ascii="Times New Roman" w:hAnsi="Times New Roman"/>
          <w:sz w:val="28"/>
          <w:szCs w:val="24"/>
        </w:rPr>
        <w:t>ны клумбы).</w:t>
      </w:r>
    </w:p>
    <w:p w:rsidR="00A61280" w:rsidRPr="001B16C7" w:rsidRDefault="00A61280" w:rsidP="00A612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B16C7">
        <w:rPr>
          <w:rFonts w:ascii="Times New Roman" w:hAnsi="Times New Roman"/>
          <w:sz w:val="28"/>
          <w:szCs w:val="24"/>
        </w:rPr>
        <w:t>Перечисленные выше работы в основном выполнены волонтёрами и инженерно-педагогическим коллективом учил</w:t>
      </w:r>
      <w:r w:rsidRPr="001B16C7">
        <w:rPr>
          <w:rFonts w:ascii="Times New Roman" w:hAnsi="Times New Roman"/>
          <w:sz w:val="28"/>
          <w:szCs w:val="24"/>
        </w:rPr>
        <w:t>и</w:t>
      </w:r>
      <w:r w:rsidRPr="001B16C7">
        <w:rPr>
          <w:rFonts w:ascii="Times New Roman" w:hAnsi="Times New Roman"/>
          <w:sz w:val="28"/>
          <w:szCs w:val="24"/>
        </w:rPr>
        <w:t xml:space="preserve">ща. </w:t>
      </w:r>
    </w:p>
    <w:p w:rsidR="00A61280" w:rsidRPr="001B16C7" w:rsidRDefault="00A61280" w:rsidP="00A61280">
      <w:pPr>
        <w:spacing w:after="0" w:line="240" w:lineRule="auto"/>
        <w:ind w:firstLine="567"/>
        <w:jc w:val="both"/>
        <w:rPr>
          <w:sz w:val="24"/>
        </w:rPr>
      </w:pPr>
      <w:r w:rsidRPr="001B16C7">
        <w:rPr>
          <w:rFonts w:ascii="Times New Roman" w:hAnsi="Times New Roman"/>
          <w:sz w:val="28"/>
          <w:szCs w:val="24"/>
        </w:rPr>
        <w:t>Основным источником финансирования на ремонтные работы является доход от внебюджетной деятельности, но также использование бюджетных ассигнований и спонсо</w:t>
      </w:r>
      <w:r w:rsidRPr="001B16C7">
        <w:rPr>
          <w:rFonts w:ascii="Times New Roman" w:hAnsi="Times New Roman"/>
          <w:sz w:val="28"/>
          <w:szCs w:val="24"/>
        </w:rPr>
        <w:t>р</w:t>
      </w:r>
      <w:r w:rsidRPr="001B16C7">
        <w:rPr>
          <w:rFonts w:ascii="Times New Roman" w:hAnsi="Times New Roman"/>
          <w:sz w:val="28"/>
          <w:szCs w:val="24"/>
        </w:rPr>
        <w:t>ских средств.</w:t>
      </w:r>
    </w:p>
    <w:p w:rsidR="00A61280" w:rsidRPr="001B16C7" w:rsidRDefault="00A61280" w:rsidP="00A612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B16C7">
        <w:rPr>
          <w:rFonts w:ascii="Times New Roman" w:hAnsi="Times New Roman"/>
          <w:sz w:val="28"/>
          <w:szCs w:val="24"/>
        </w:rPr>
        <w:lastRenderedPageBreak/>
        <w:t>Для улучшения материально-технической базы училища за отчётный период было приобретено</w:t>
      </w:r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28"/>
          <w:szCs w:val="24"/>
        </w:rPr>
      </w:pPr>
      <w:r w:rsidRPr="001B16C7">
        <w:rPr>
          <w:rFonts w:ascii="Times New Roman" w:hAnsi="Times New Roman"/>
          <w:sz w:val="28"/>
          <w:szCs w:val="24"/>
        </w:rPr>
        <w:t>оборудование и мебель для компь</w:t>
      </w:r>
      <w:r w:rsidRPr="001B16C7">
        <w:rPr>
          <w:rFonts w:ascii="Times New Roman" w:hAnsi="Times New Roman"/>
          <w:sz w:val="28"/>
          <w:szCs w:val="24"/>
        </w:rPr>
        <w:t>ю</w:t>
      </w:r>
      <w:r w:rsidRPr="001B16C7">
        <w:rPr>
          <w:rFonts w:ascii="Times New Roman" w:hAnsi="Times New Roman"/>
          <w:sz w:val="28"/>
          <w:szCs w:val="24"/>
        </w:rPr>
        <w:t>терного класса;</w:t>
      </w:r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28"/>
          <w:szCs w:val="24"/>
        </w:rPr>
      </w:pPr>
      <w:r w:rsidRPr="001B16C7">
        <w:rPr>
          <w:rFonts w:ascii="Times New Roman" w:hAnsi="Times New Roman"/>
          <w:sz w:val="28"/>
          <w:szCs w:val="24"/>
        </w:rPr>
        <w:t>оборудование для станочной мастерской;</w:t>
      </w:r>
    </w:p>
    <w:p w:rsidR="00A61280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28"/>
          <w:szCs w:val="24"/>
        </w:rPr>
      </w:pPr>
      <w:r w:rsidRPr="001B16C7">
        <w:rPr>
          <w:rFonts w:ascii="Times New Roman" w:hAnsi="Times New Roman"/>
          <w:sz w:val="28"/>
          <w:szCs w:val="24"/>
        </w:rPr>
        <w:t>оборудование для сварочной мастерской;</w:t>
      </w:r>
    </w:p>
    <w:p w:rsidR="00A61280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комплект инструментов «Профи» для парикмахеров;</w:t>
      </w:r>
    </w:p>
    <w:p w:rsidR="00A61280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мерительные инструменты для станочников;</w:t>
      </w:r>
    </w:p>
    <w:p w:rsidR="00A61280" w:rsidRPr="00823CC1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спецодежда для станочников и сварщиков; </w:t>
      </w:r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28"/>
          <w:szCs w:val="24"/>
        </w:rPr>
      </w:pPr>
      <w:r w:rsidRPr="001B16C7">
        <w:rPr>
          <w:rFonts w:ascii="Times New Roman" w:hAnsi="Times New Roman"/>
          <w:sz w:val="28"/>
          <w:szCs w:val="24"/>
        </w:rPr>
        <w:t>переносной проекционный экран;</w:t>
      </w:r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28"/>
          <w:szCs w:val="24"/>
        </w:rPr>
      </w:pPr>
      <w:r w:rsidRPr="001B16C7">
        <w:rPr>
          <w:rFonts w:ascii="Times New Roman" w:hAnsi="Times New Roman"/>
          <w:sz w:val="28"/>
          <w:szCs w:val="24"/>
        </w:rPr>
        <w:t>приобретены две электроплиты для столовой;</w:t>
      </w:r>
    </w:p>
    <w:p w:rsidR="00A61280" w:rsidRPr="001B16C7" w:rsidRDefault="00A61280" w:rsidP="00A61280">
      <w:pPr>
        <w:numPr>
          <w:ilvl w:val="3"/>
          <w:numId w:val="2"/>
        </w:numPr>
        <w:tabs>
          <w:tab w:val="num" w:pos="540"/>
        </w:tabs>
        <w:spacing w:after="0" w:line="240" w:lineRule="auto"/>
        <w:ind w:left="0" w:firstLine="360"/>
        <w:jc w:val="both"/>
        <w:outlineLvl w:val="2"/>
        <w:rPr>
          <w:rFonts w:ascii="Times New Roman" w:hAnsi="Times New Roman"/>
          <w:sz w:val="28"/>
          <w:szCs w:val="24"/>
        </w:rPr>
      </w:pPr>
      <w:r w:rsidRPr="001B16C7">
        <w:rPr>
          <w:rFonts w:ascii="Times New Roman" w:hAnsi="Times New Roman"/>
          <w:sz w:val="28"/>
          <w:szCs w:val="24"/>
        </w:rPr>
        <w:t>приобретены цветочные горшки и и</w:t>
      </w:r>
      <w:r w:rsidRPr="001B16C7">
        <w:rPr>
          <w:rFonts w:ascii="Times New Roman" w:hAnsi="Times New Roman"/>
          <w:sz w:val="28"/>
          <w:szCs w:val="24"/>
        </w:rPr>
        <w:t>с</w:t>
      </w:r>
      <w:r w:rsidRPr="001B16C7">
        <w:rPr>
          <w:rFonts w:ascii="Times New Roman" w:hAnsi="Times New Roman"/>
          <w:sz w:val="28"/>
          <w:szCs w:val="24"/>
        </w:rPr>
        <w:t>кусственные цветы.</w:t>
      </w:r>
    </w:p>
    <w:p w:rsidR="00A61280" w:rsidRPr="00823CC1" w:rsidRDefault="00A61280" w:rsidP="00A61280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823CC1">
        <w:rPr>
          <w:rFonts w:ascii="Times New Roman" w:hAnsi="Times New Roman"/>
          <w:sz w:val="28"/>
          <w:szCs w:val="24"/>
        </w:rPr>
        <w:t>Оборудование для компьютерного кабинета и мастерских было приобретено по целевой программе финансирования. Остальные приобретения сделаны на сре</w:t>
      </w:r>
      <w:r w:rsidRPr="00823CC1">
        <w:rPr>
          <w:rFonts w:ascii="Times New Roman" w:hAnsi="Times New Roman"/>
          <w:sz w:val="28"/>
          <w:szCs w:val="24"/>
        </w:rPr>
        <w:t>д</w:t>
      </w:r>
      <w:r w:rsidRPr="00823CC1">
        <w:rPr>
          <w:rFonts w:ascii="Times New Roman" w:hAnsi="Times New Roman"/>
          <w:sz w:val="28"/>
          <w:szCs w:val="24"/>
        </w:rPr>
        <w:t>ства от внебюджетной деятельности.</w:t>
      </w:r>
    </w:p>
    <w:p w:rsidR="00A61280" w:rsidRDefault="00A61280" w:rsidP="00A61280"/>
    <w:p w:rsidR="00A61280" w:rsidRDefault="00A61280" w:rsidP="00A61280"/>
    <w:p w:rsidR="00B00524" w:rsidRDefault="00B00524"/>
    <w:sectPr w:rsidR="00B00524" w:rsidSect="00B0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733"/>
    <w:multiLevelType w:val="hybridMultilevel"/>
    <w:tmpl w:val="2FB4790C"/>
    <w:lvl w:ilvl="0" w:tplc="04190007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140D7CA0"/>
    <w:multiLevelType w:val="hybridMultilevel"/>
    <w:tmpl w:val="96941F3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FB35B1"/>
    <w:multiLevelType w:val="hybridMultilevel"/>
    <w:tmpl w:val="0890E89E"/>
    <w:lvl w:ilvl="0" w:tplc="4A5E7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4E3331"/>
    <w:multiLevelType w:val="hybridMultilevel"/>
    <w:tmpl w:val="0D8C2E9C"/>
    <w:lvl w:ilvl="0" w:tplc="4A5E7C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E4908"/>
    <w:multiLevelType w:val="hybridMultilevel"/>
    <w:tmpl w:val="DBC0DB02"/>
    <w:lvl w:ilvl="0" w:tplc="4A5E7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280"/>
    <w:rsid w:val="00443326"/>
    <w:rsid w:val="00A61280"/>
    <w:rsid w:val="00B00524"/>
    <w:rsid w:val="00BB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12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A612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2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1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0"/>
      <c:hPercent val="5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25400">
          <a:noFill/>
        </a:ln>
      </c:spPr>
    </c:sideWall>
    <c:backWall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86287625418061E-2"/>
          <c:y val="0.1378446115288221"/>
          <c:w val="0.89464882943143831"/>
          <c:h val="0.7543859649122804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 год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от 16 до 35 лет</c:v>
                </c:pt>
                <c:pt idx="1">
                  <c:v>от 36 до 45 лет</c:v>
                </c:pt>
                <c:pt idx="2">
                  <c:v>от 46 до 55 лет</c:v>
                </c:pt>
                <c:pt idx="3">
                  <c:v>свыше 55 лет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0.17</c:v>
                </c:pt>
                <c:pt idx="1">
                  <c:v>0.11</c:v>
                </c:pt>
                <c:pt idx="2">
                  <c:v>0.23</c:v>
                </c:pt>
                <c:pt idx="3">
                  <c:v>0.4900000000000001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 год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от 16 до 35 лет</c:v>
                </c:pt>
                <c:pt idx="1">
                  <c:v>от 36 до 45 лет</c:v>
                </c:pt>
                <c:pt idx="2">
                  <c:v>от 46 до 55 лет</c:v>
                </c:pt>
                <c:pt idx="3">
                  <c:v>свыше 55 лет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0.13</c:v>
                </c:pt>
                <c:pt idx="1">
                  <c:v>0.1</c:v>
                </c:pt>
                <c:pt idx="2">
                  <c:v>0.31000000000000011</c:v>
                </c:pt>
                <c:pt idx="3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 год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от 16 до 35 лет</c:v>
                </c:pt>
                <c:pt idx="1">
                  <c:v>от 36 до 45 лет</c:v>
                </c:pt>
                <c:pt idx="2">
                  <c:v>от 46 до 55 лет</c:v>
                </c:pt>
                <c:pt idx="3">
                  <c:v>свыше 55 лет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0.11</c:v>
                </c:pt>
                <c:pt idx="1">
                  <c:v>0.14000000000000001</c:v>
                </c:pt>
                <c:pt idx="2">
                  <c:v>0.28000000000000008</c:v>
                </c:pt>
                <c:pt idx="3">
                  <c:v>0.47000000000000008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2012 год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от 16 до 35 лет</c:v>
                </c:pt>
                <c:pt idx="1">
                  <c:v>от 36 до 45 лет</c:v>
                </c:pt>
                <c:pt idx="2">
                  <c:v>от 46 до 55 лет</c:v>
                </c:pt>
                <c:pt idx="3">
                  <c:v>свыше 55 лет</c:v>
                </c:pt>
              </c:strCache>
            </c:strRef>
          </c:cat>
          <c:val>
            <c:numRef>
              <c:f>Sheet1!$B$5:$E$5</c:f>
              <c:numCache>
                <c:formatCode>0%</c:formatCode>
                <c:ptCount val="4"/>
                <c:pt idx="0">
                  <c:v>0.15000000000000005</c:v>
                </c:pt>
                <c:pt idx="1">
                  <c:v>0.22</c:v>
                </c:pt>
                <c:pt idx="2">
                  <c:v>0.34</c:v>
                </c:pt>
                <c:pt idx="3">
                  <c:v>0.29000000000000009</c:v>
                </c:pt>
              </c:numCache>
            </c:numRef>
          </c:val>
        </c:ser>
        <c:gapDepth val="0"/>
        <c:shape val="cylinder"/>
        <c:axId val="254307712"/>
        <c:axId val="254509824"/>
        <c:axId val="0"/>
      </c:bar3DChart>
      <c:catAx>
        <c:axId val="254307712"/>
        <c:scaling>
          <c:orientation val="minMax"/>
        </c:scaling>
        <c:axPos val="b"/>
        <c:numFmt formatCode="General" sourceLinked="1"/>
        <c:tickLblPos val="low"/>
        <c:spPr>
          <a:ln w="9525">
            <a:noFill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4509824"/>
        <c:crosses val="autoZero"/>
        <c:auto val="1"/>
        <c:lblAlgn val="ctr"/>
        <c:lblOffset val="100"/>
        <c:tickLblSkip val="1"/>
        <c:tickMarkSkip val="1"/>
      </c:catAx>
      <c:valAx>
        <c:axId val="2545098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4307712"/>
        <c:crosses val="autoZero"/>
        <c:crossBetween val="between"/>
      </c:valAx>
      <c:spPr>
        <a:noFill/>
        <a:ln w="25399">
          <a:noFill/>
        </a:ln>
      </c:spPr>
    </c:plotArea>
    <c:legend>
      <c:legendPos val="t"/>
      <c:layout>
        <c:manualLayout>
          <c:xMode val="edge"/>
          <c:yMode val="edge"/>
          <c:x val="0.1354515050167224"/>
          <c:y val="7.5187969924812061E-3"/>
          <c:w val="0.72742474916387989"/>
          <c:h val="8.2706766917293256E-2"/>
        </c:manualLayout>
      </c:layout>
      <c:spPr>
        <a:noFill/>
        <a:ln w="25399">
          <a:noFill/>
        </a:ln>
      </c:spPr>
      <c:txPr>
        <a:bodyPr/>
        <a:lstStyle/>
        <a:p>
          <a:pPr>
            <a:defRPr sz="144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7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4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8"/>
          <c:dPt>
            <c:idx val="0"/>
            <c:explosion val="3"/>
            <c:spPr>
              <a:solidFill>
                <a:srgbClr val="00B0F0"/>
              </a:solidFill>
            </c:spPr>
          </c:dPt>
          <c:dPt>
            <c:idx val="1"/>
            <c:explosion val="9"/>
            <c:spPr>
              <a:solidFill>
                <a:srgbClr val="7030A0"/>
              </a:solidFill>
            </c:spPr>
          </c:dPt>
          <c:dPt>
            <c:idx val="2"/>
            <c:explosion val="6"/>
            <c:spPr>
              <a:solidFill>
                <a:srgbClr val="DC30B7"/>
              </a:solidFill>
            </c:spPr>
          </c:dPt>
          <c:dLbls>
            <c:txPr>
              <a:bodyPr/>
              <a:lstStyle/>
              <a:p>
                <a:pPr>
                  <a:defRPr sz="1398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нет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0.53</c:v>
                </c:pt>
                <c:pt idx="1">
                  <c:v>0.21000000000000005</c:v>
                </c:pt>
                <c:pt idx="2">
                  <c:v>0.26</c:v>
                </c:pt>
              </c:numCache>
            </c:numRef>
          </c:val>
        </c:ser>
      </c:pie3DChart>
      <c:spPr>
        <a:noFill/>
        <a:ln w="25355">
          <a:noFill/>
        </a:ln>
      </c:spPr>
    </c:plotArea>
    <c:legend>
      <c:legendPos val="r"/>
      <c:layout>
        <c:manualLayout>
          <c:xMode val="edge"/>
          <c:yMode val="edge"/>
          <c:x val="0.68595644988820847"/>
          <c:y val="8.3181942257217867E-2"/>
          <c:w val="0.28614445416545159"/>
          <c:h val="0.88390971128608964"/>
        </c:manualLayout>
      </c:layout>
      <c:txPr>
        <a:bodyPr/>
        <a:lstStyle/>
        <a:p>
          <a:pPr>
            <a:defRPr sz="1398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0"/>
      <c:hPercent val="65"/>
      <c:rotY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25400">
          <a:noFill/>
        </a:ln>
      </c:spPr>
    </c:sideWall>
    <c:backWall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224489795918373E-2"/>
          <c:y val="0.12679425837320574"/>
          <c:w val="0.92176870748299322"/>
          <c:h val="0.7248803827751196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 уч.год</c:v>
                </c:pt>
              </c:strCache>
            </c:strRef>
          </c:tx>
          <c:spPr>
            <a:pattFill prst="pct5">
              <a:fgClr>
                <a:srgbClr val="3366FF"/>
              </a:fgClr>
              <a:bgClr>
                <a:srgbClr val="9999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13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вторая квалификационная категория</c:v>
                </c:pt>
                <c:pt idx="3">
                  <c:v>нет квалификационной категории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0.52</c:v>
                </c:pt>
                <c:pt idx="1">
                  <c:v>0.21000000000000005</c:v>
                </c:pt>
                <c:pt idx="2">
                  <c:v>0.16</c:v>
                </c:pt>
                <c:pt idx="3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2010-2011 уч.год</c:v>
                </c:pt>
              </c:strCache>
            </c:strRef>
          </c:tx>
          <c:spPr>
            <a:pattFill prst="pct80">
              <a:fgClr>
                <a:srgbClr val="FF0000"/>
              </a:fgClr>
              <a:bgClr>
                <a:srgbClr val="CC99FF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13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вторая квалификационная категория</c:v>
                </c:pt>
                <c:pt idx="3">
                  <c:v>нет квалификационной категории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0.56999999999999995</c:v>
                </c:pt>
                <c:pt idx="1">
                  <c:v>0.29000000000000009</c:v>
                </c:pt>
                <c:pt idx="2">
                  <c:v>0</c:v>
                </c:pt>
                <c:pt idx="3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2011-2012 уч.год</c:v>
                </c:pt>
              </c:strCache>
            </c:strRef>
          </c:tx>
          <c:spPr>
            <a:pattFill prst="pct80">
              <a:fgClr>
                <a:srgbClr val="800080"/>
              </a:fgClr>
              <a:bgClr>
                <a:srgbClr val="FFFFCC"/>
              </a:bgClr>
            </a:pattFill>
            <a:ln w="12679">
              <a:solidFill>
                <a:srgbClr val="000000"/>
              </a:solidFill>
              <a:prstDash val="solid"/>
            </a:ln>
          </c:spPr>
          <c:dLbls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13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вторая квалификационная категория</c:v>
                </c:pt>
                <c:pt idx="3">
                  <c:v>нет квалификационной категории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0.61000000000000021</c:v>
                </c:pt>
                <c:pt idx="1">
                  <c:v>0.17</c:v>
                </c:pt>
                <c:pt idx="3">
                  <c:v>0.22</c:v>
                </c:pt>
              </c:numCache>
            </c:numRef>
          </c:val>
        </c:ser>
        <c:gapDepth val="0"/>
        <c:shape val="cylinder"/>
        <c:axId val="254697472"/>
        <c:axId val="254699008"/>
        <c:axId val="0"/>
      </c:bar3DChart>
      <c:catAx>
        <c:axId val="254697472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4699008"/>
        <c:crosses val="autoZero"/>
        <c:auto val="1"/>
        <c:lblAlgn val="ctr"/>
        <c:lblOffset val="100"/>
        <c:tickLblSkip val="1"/>
        <c:tickMarkSkip val="1"/>
      </c:catAx>
      <c:valAx>
        <c:axId val="254699008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4697472"/>
        <c:crosses val="autoZero"/>
        <c:crossBetween val="between"/>
      </c:valAx>
      <c:spPr>
        <a:noFill/>
        <a:ln w="25357">
          <a:noFill/>
        </a:ln>
      </c:spPr>
    </c:plotArea>
    <c:legend>
      <c:legendPos val="t"/>
      <c:layout>
        <c:manualLayout>
          <c:xMode val="edge"/>
          <c:yMode val="edge"/>
          <c:x val="8.3333333333333343E-2"/>
          <c:y val="7.177033492822971E-3"/>
          <c:w val="0.80612244897959184"/>
          <c:h val="6.6985645933014371E-2"/>
        </c:manualLayout>
      </c:layout>
      <c:spPr>
        <a:noFill/>
        <a:ln w="25357">
          <a:noFill/>
        </a:ln>
      </c:spPr>
      <c:txPr>
        <a:bodyPr/>
        <a:lstStyle/>
        <a:p>
          <a:pPr>
            <a:defRPr sz="126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0.63045392332093453"/>
          <c:h val="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006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FF00FF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800000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FF00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FFCC00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0000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00B0F0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Lbls>
            <c:numFmt formatCode="0.0%" sourceLinked="0"/>
            <c:spPr>
              <a:noFill/>
              <a:ln w="20121">
                <a:noFill/>
              </a:ln>
            </c:spPr>
            <c:txPr>
              <a:bodyPr/>
              <a:lstStyle/>
              <a:p>
                <a:pPr>
                  <a:defRPr sz="103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Sheet1!$B$1:$I$1</c:f>
              <c:strCache>
                <c:ptCount val="8"/>
                <c:pt idx="0">
                  <c:v>заработная плата и прочие выплаты</c:v>
                </c:pt>
                <c:pt idx="1">
                  <c:v>начисления на выплаты по оплате труда</c:v>
                </c:pt>
                <c:pt idx="2">
                  <c:v>транспортные услуги и услуги связи</c:v>
                </c:pt>
                <c:pt idx="3">
                  <c:v>коммунальные услуги</c:v>
                </c:pt>
                <c:pt idx="4">
                  <c:v>работы, услуги по содержанию имущества</c:v>
                </c:pt>
                <c:pt idx="5">
                  <c:v>пособия по социальной помощи населению</c:v>
                </c:pt>
                <c:pt idx="6">
                  <c:v>прочие расходы</c:v>
                </c:pt>
                <c:pt idx="7">
                  <c:v>увеличение стоимости материальных запасов</c:v>
                </c:pt>
              </c:strCache>
            </c:strRef>
          </c:cat>
          <c:val>
            <c:numRef>
              <c:f>Sheet1!$B$2:$I$2</c:f>
              <c:numCache>
                <c:formatCode>0.0%</c:formatCode>
                <c:ptCount val="8"/>
                <c:pt idx="0">
                  <c:v>0.30400000000000016</c:v>
                </c:pt>
                <c:pt idx="1">
                  <c:v>0.10700000000000003</c:v>
                </c:pt>
                <c:pt idx="2">
                  <c:v>6.0000000000000027E-3</c:v>
                </c:pt>
                <c:pt idx="3">
                  <c:v>9.4000000000000028E-2</c:v>
                </c:pt>
                <c:pt idx="4">
                  <c:v>1.0999999999999998E-2</c:v>
                </c:pt>
                <c:pt idx="5">
                  <c:v>0.30600000000000016</c:v>
                </c:pt>
                <c:pt idx="6">
                  <c:v>0.13400000000000001</c:v>
                </c:pt>
                <c:pt idx="7">
                  <c:v>3.8000000000000006E-2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006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8"/>
                <c:pt idx="0">
                  <c:v>заработная плата и прочие выплаты</c:v>
                </c:pt>
                <c:pt idx="1">
                  <c:v>начисления на выплаты по оплате труда</c:v>
                </c:pt>
                <c:pt idx="2">
                  <c:v>транспортные услуги и услуги связи</c:v>
                </c:pt>
                <c:pt idx="3">
                  <c:v>коммунальные услуги</c:v>
                </c:pt>
                <c:pt idx="4">
                  <c:v>работы, услуги по содержанию имущества</c:v>
                </c:pt>
                <c:pt idx="5">
                  <c:v>пособия по социальной помощи населению</c:v>
                </c:pt>
                <c:pt idx="6">
                  <c:v>прочие расходы</c:v>
                </c:pt>
                <c:pt idx="7">
                  <c:v>увеличение стоимости материальных запасов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006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006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8"/>
                <c:pt idx="0">
                  <c:v>заработная плата и прочие выплаты</c:v>
                </c:pt>
                <c:pt idx="1">
                  <c:v>начисления на выплаты по оплате труда</c:v>
                </c:pt>
                <c:pt idx="2">
                  <c:v>транспортные услуги и услуги связи</c:v>
                </c:pt>
                <c:pt idx="3">
                  <c:v>коммунальные услуги</c:v>
                </c:pt>
                <c:pt idx="4">
                  <c:v>работы, услуги по содержанию имущества</c:v>
                </c:pt>
                <c:pt idx="5">
                  <c:v>пособия по социальной помощи населению</c:v>
                </c:pt>
                <c:pt idx="6">
                  <c:v>прочие расходы</c:v>
                </c:pt>
                <c:pt idx="7">
                  <c:v>увеличение стоимости материальных запасов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</c:pie3DChart>
      <c:spPr>
        <a:noFill/>
        <a:ln w="21799">
          <a:noFill/>
        </a:ln>
      </c:spPr>
    </c:plotArea>
    <c:legend>
      <c:legendPos val="r"/>
      <c:layout>
        <c:manualLayout>
          <c:xMode val="edge"/>
          <c:yMode val="edge"/>
          <c:x val="0.65064783778974367"/>
          <c:y val="2.6917804523927138E-2"/>
          <c:w val="0.33368001619021925"/>
          <c:h val="0.95826722389853469"/>
        </c:manualLayout>
      </c:layout>
      <c:spPr>
        <a:noFill/>
        <a:ln w="20121">
          <a:noFill/>
        </a:ln>
      </c:spPr>
      <c:txPr>
        <a:bodyPr/>
        <a:lstStyle/>
        <a:p>
          <a:pPr>
            <a:defRPr sz="87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30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1410</Words>
  <Characters>8037</Characters>
  <Application>Microsoft Office Word</Application>
  <DocSecurity>0</DocSecurity>
  <Lines>66</Lines>
  <Paragraphs>18</Paragraphs>
  <ScaleCrop>false</ScaleCrop>
  <Company>Microsoft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2012-12-17T08:55:00Z</dcterms:created>
  <dcterms:modified xsi:type="dcterms:W3CDTF">2012-12-17T08:55:00Z</dcterms:modified>
</cp:coreProperties>
</file>